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Perpustakaan Digital Layanan Primer Islami</w:t>
      </w:r>
    </w:p>
    <w:p>
      <w:r>
        <w:t>Jl. Kerinci Raya No. 9, Malang 65138</w:t>
      </w:r>
    </w:p>
    <w:p>
      <w:r>
        <w:t>Buku Tematik 1 dari Klaster Digital — Ekosistem Buku Pendidikan Dokter Keluarga Layanan Primer Berbasis Al-Qur'an dan Hadits</w:t>
      </w:r>
    </w:p>
    <w:p>
      <w:r>
        <w:t>B1 — Keterampilan Klinis Dasar Kedokteran Keluarga: Pendekatan Holistik dan Berpusat pada Pasien (Perspektif Al-Qur'an dan Hadits)</w:t>
      </w:r>
    </w:p>
    <w:p>
      <w:r>
        <w:t>Disusun oleh</w:t>
      </w:r>
    </w:p>
    <w:p>
      <w:r>
        <w:t>Dr.dr. H. Budi Siswanto, Sp.OG., Subsp.Obginsos., SH., S.Kom.</w:t>
      </w:r>
    </w:p>
    <w:p>
      <w:r>
        <w:t>2026</w:t>
      </w:r>
    </w:p>
    <w:p>
      <w:pPr>
        <w:pStyle w:val="Heading1"/>
      </w:pPr>
      <w:r>
        <w:t>BAB I — MENGAPA PENDEKATAN HOLISTIK MENJADI DASAR</w:t>
      </w:r>
    </w:p>
    <w:p>
      <w:r>
        <w:rPr>
          <w:i/>
        </w:rPr>
        <w:t>Bayangkan dua pasien dengan keluhan yang persis sama — nyeri kepala berulang — namun satu pulang dengan resep pereda nyeri, sementara yang lain pulang dengan rencana perawatan yang mengubah arah kesehatan seluruh keluarganya. Perbedaannya bukan pada obat, melainkan pada cara dokter bertanya.</w:t>
      </w:r>
    </w:p>
    <w:p>
      <w:r>
        <w:t>Buku ini adalah fondasi akademik Klaster Digital, membahas Area Kompetensi f (keterampilan klinis) yang mendasari seluruh Buku Tematik lain: bagaimana melihat pasien bukan sebagai kumpulan gejala, tetapi sebagai manusia yang hidup di dalam keluarga, lingkungan, dan — bagi pasien Muslim — kerangka makna spiritual yang memengaruhi bagaimana ia memahami sehat dan sakit.</w:t>
      </w:r>
    </w:p>
    <w:p>
      <w:r>
        <w:t>Pelayanan kedokteran keluarga bersifat komprehensif, kontinu, terkoordinasi, personal, mempertimbangkan konteks keluarga dan komunitas pasien, sesuai definisi WONCA tentang kedokteran keluarga.</w:t>
      </w:r>
    </w:p>
    <w:p>
      <w:r>
        <w:rPr>
          <w:b/>
        </w:rPr>
        <w:t xml:space="preserve">📖 LANDASAN AL-QUR'AN — </w:t>
      </w:r>
      <w:r>
        <w:t xml:space="preserve">"Sungguh, Kami telah memuliakan anak cucu Adam." (QS. Al-Isra' (17): 70, Terjemahan Kemenag RI). </w:t>
      </w:r>
      <w:r>
        <w:rPr>
          <w:i/>
        </w:rPr>
        <w:t>Ayat ini menjadi dasar mengapa pasien harus dipandang sebagai manusia yang bermartabat secara utuh — jasad, jiwa, dan konteks sosialnya — bukan sekadar objek diagnosis.</w:t>
      </w:r>
    </w:p>
    <w:p>
      <w:pPr>
        <w:pStyle w:val="Heading2"/>
      </w:pPr>
      <w:r>
        <w:t>A. Sembilan Perangkat yang Akan Dipelajari</w:t>
      </w:r>
    </w:p>
    <w:p>
      <w:r>
        <w:t>Bab-bab selanjutnya membahas perangkat klinis dasar yang membedakan pendekatan ini: genogram, ecomap, patient-centered clinical method, BATHE technique, dan wawancara motivasional, masing-masing dilengkapi ilustrasi kasus.</w:t>
      </w:r>
    </w:p>
    <w:p>
      <w:r>
        <w:t>Peta capaian pembelajaran buku ini mengikuti notasi berjenjang Area Kompetensi f (Keterampilan Klinis) sesuai Kepkonsil No. HK.01.02/KKI/1318/2026.</w:t>
      </w:r>
    </w:p>
    <w:p>
      <w:r>
        <w:rPr>
          <w:b/>
        </w:rPr>
        <w:t xml:space="preserve">⚠ TINJAU TENAGA KESEHATAN — </w:t>
      </w:r>
      <w:r>
        <w:rPr>
          <w:i/>
        </w:rPr>
        <w:t>notasi capaian pembelajaran (f.1–f.4) pada buku ini bersifat kerangka ringkas; rujukan resmi tetap dokumen Kepkonsil.</w:t>
      </w:r>
    </w:p>
    <w:p>
      <w:pPr>
        <w:pStyle w:val="Heading1"/>
      </w:pPr>
      <w:r>
        <w:t>BAB II — GENOGRAM SEBAGAI PETA KELUARGA</w:t>
      </w:r>
    </w:p>
    <w:p>
      <w:r>
        <w:t>Genogram memetakan tiga generasi hubungan keluarga, pola penyakit herediter, dan dinamika relasi (dekat, konflik, terputus). Alat ini mengubah anamnesis dari daftar keluhan menjadi peta konteks hidup pasien.</w:t>
      </w:r>
    </w:p>
    <w:p>
      <w:r>
        <w:rPr>
          <w:b/>
        </w:rPr>
        <w:t xml:space="preserve">🩺 Ilustrasi Kasus — </w:t>
      </w:r>
      <w:r>
        <w:t>Seorang perempuan 34 tahun datang dengan keluhan nyeri kepala berulang selama enam bulan. Genogram mengungkap bahwa ibunya meninggal karena stroke di usia yang sama, dan pasien merawat sendiri ayahnya yang lumpuh tanpa bantuan saudara. Nyeri kepalanya adalah gabungan faktor somatik dan beban psikososial yang tidak akan tampak tanpa genogram.</w:t>
      </w:r>
    </w:p>
    <w:p>
      <w:r>
        <w:rPr>
          <w:b/>
        </w:rPr>
        <w:t xml:space="preserve">🕌 LANDASAN HADITS — </w:t>
      </w:r>
      <w:r>
        <w:t xml:space="preserve">"Sebaik-baik kalian adalah yang paling baik terhadap keluarganya." (HR. Tirmidzi, dinilai hasan shahih). </w:t>
      </w:r>
      <w:r>
        <w:rPr>
          <w:i/>
        </w:rPr>
        <w:t>Menegaskan bahwa memahami dinamika keluarga pasien bukan sekadar teknik klinis, tetapi cerminan perhatian menyeluruh yang dianjurkan dalam Islam terhadap unit keluarga.</w:t>
      </w:r>
    </w:p>
    <w:p>
      <w:pPr>
        <w:pStyle w:val="Heading1"/>
      </w:pPr>
      <w:r>
        <w:t>BAB III — MENDENGARKAN SEBAGAI KETERAMPILAN KLINIS</w:t>
      </w:r>
    </w:p>
    <w:p>
      <w:r>
        <w:t>Patient-centered clinical method menuntut dokter menggali empat dimensi: perasaan pasien (feelings), pemahamannya tentang penyakit (ideas), dampak pada fungsi sehari-hari (function), dan harapannya (expectations) — dikenal sebagai kerangka FIFE.</w:t>
      </w:r>
    </w:p>
    <w:p>
      <w:r>
        <w:rPr>
          <w:b/>
        </w:rPr>
        <w:t xml:space="preserve">🩺 Ilustrasi Kasus — </w:t>
      </w:r>
      <w:r>
        <w:t>Seorang remaja 16 tahun dibawa ayahnya karena 'sering murung dan malas sekolah'. Saat digali dengan kerangka FIFE, remaja tersebut mengungkapkan tekanan akademik dan perundungan yang tidak pernah ia sampaikan ke orang tuanya.</w:t>
      </w:r>
    </w:p>
    <w:p>
      <w:r>
        <w:rPr>
          <w:b/>
        </w:rPr>
        <w:t xml:space="preserve">📖 LANDASAN AL-QUR'AN — </w:t>
      </w:r>
      <w:r>
        <w:t xml:space="preserve">"Maka disebabkan rahmat dari Allah-lah engkau (Muhammad) berlaku lemah lembut terhadap mereka. Sekiranya engkau bersikap keras dan berhati kasar, tentulah mereka menjauhkan diri dari sekitarmu." (QS. Ali 'Imran (3): 159, Terjemahan Kemenag RI). </w:t>
      </w:r>
      <w:r>
        <w:rPr>
          <w:i/>
        </w:rPr>
        <w:t>Prinsip kelembutan dalam berkomunikasi ini sejalan langsung dengan teknik komunikasi berpusat-pasien: pasien lebih terbuka pada pendengar yang lembut, bukan yang menghakimi.</w:t>
      </w:r>
    </w:p>
    <w:p>
      <w:pPr>
        <w:pStyle w:val="Heading1"/>
      </w:pPr>
      <w:r>
        <w:t>BAB IV — ECOMAP: MELIHAT PASIEN DALAM JARINGAN SOSIALNYA</w:t>
      </w:r>
    </w:p>
    <w:p>
      <w:r>
        <w:t>Ecomap memetakan hubungan pasien dengan sistem di luar keluarga inti: tempat kerja, komunitas keagamaan, layanan kesehatan, dan sistem dukungan lain, membantu dokter mengenali sumber dukungan maupun sumber tekanan yang tidak tampak dari anamnesis biasa.</w:t>
      </w:r>
    </w:p>
    <w:p>
      <w:r>
        <w:rPr>
          <w:b/>
        </w:rPr>
        <w:t xml:space="preserve">🩺 Ilustrasi Kasus — </w:t>
      </w:r>
      <w:r>
        <w:t>Ecomap keluarga binaan seorang lansia 70 tahun yang tinggal sendiri menunjukkan bahwa satu-satunya kontak sosial rutinnya adalah jemaah masjid dekat rumah — informasi ini penting untuk merancang dukungan psikososial yang realistis.</w:t>
      </w:r>
    </w:p>
    <w:p>
      <w:pPr>
        <w:pStyle w:val="Heading1"/>
      </w:pPr>
      <w:r>
        <w:t>BAB V — RED FLAGS DALAM PENDEKATAN HOLISTIK</w:t>
      </w:r>
    </w:p>
    <w:p>
      <w:r>
        <w:t>Pendekatan holistik tidak berarti mengabaikan kegawatan biomedis. Dokter keluarga tetap wajib menyaring red flags di setiap keluhan sebelum menelusuri dimensi psikososial secara mendalam.</w:t>
      </w:r>
    </w:p>
    <w:p>
      <w:r>
        <w:rPr>
          <w:b/>
        </w:rPr>
        <w:t xml:space="preserve">🩺 Ilustrasi Kasus — </w:t>
      </w:r>
      <w:r>
        <w:t>Seorang laki-laki 45 tahun datang dengan nyeri dada ringan yang awalnya tampak terkait stres kerja, namun pemeriksaan EKG menunjukkan perubahan iskemik — mengingatkan bahwa empati tidak boleh menunda kewaspadaan klinis.</w:t>
      </w:r>
    </w:p>
    <w:p>
      <w:r>
        <w:rPr>
          <w:b/>
        </w:rPr>
        <w:t xml:space="preserve">⚠ TINJAU TENAGA KESEHATAN — </w:t>
      </w:r>
      <w:r>
        <w:rPr>
          <w:i/>
        </w:rPr>
        <w:t>contoh red flags spesifik per keluhan tidak dicantumkan lengkap di buku ini; rujuk pedoman klinis nasional/PAPDI/WONCA untuk daftar lengkap per sistem organ.</w:t>
      </w:r>
    </w:p>
    <w:p>
      <w:pPr>
        <w:pStyle w:val="Heading1"/>
      </w:pPr>
      <w:r>
        <w:t>BAB VI — KEBERLANJUTAN: SATU DOKTER, SEUMUR RELASI</w:t>
      </w:r>
    </w:p>
    <w:p>
      <w:r>
        <w:t>Kontinuitas relasi dokter-pasien selama bertahun-tahun adalah keunggulan unik kedokteran keluarga yang memungkinkan deteksi dini perubahan pola hidup dan kepercayaan yang memudahkan keterbukaan pasien.</w:t>
      </w:r>
    </w:p>
    <w:p>
      <w:r>
        <w:rPr>
          <w:b/>
        </w:rPr>
        <w:t xml:space="preserve">🩺 Ilustrasi Kasus — </w:t>
      </w:r>
      <w:r>
        <w:t>Seorang perempuan 28 tahun datang dengan kelelahan selama dua bulan; karena dokter telah mengenalnya sejak remaja, ia lebih mudah mengungkap bahwa kelelahan itu muncul sejak mengalami kekerasan dalam rumah tangga — sesuatu yang tidak akan terungkap pada kunjungan pertama dengan dokter baru.</w:t>
      </w:r>
    </w:p>
    <w:p>
      <w:r>
        <w:rPr>
          <w:b/>
        </w:rPr>
        <w:t xml:space="preserve">🕌 LANDASAN HADITS — </w:t>
      </w:r>
      <w:r>
        <w:t xml:space="preserve">"Barangsiapa menutupi (aib) seorang muslim, Allah akan menutupi (aibnya) di dunia dan akhirat." (HR. Muslim). </w:t>
      </w:r>
      <w:r>
        <w:rPr>
          <w:i/>
        </w:rPr>
        <w:t>Landasan bagi kepercayaan jangka panjang antara dokter dan pasien: menjaga rahasia pasien adalah bagian dari amanah profesi sekaligus nilai yang dijunjung tinggi dalam Islam.</w:t>
      </w:r>
    </w:p>
    <w:p>
      <w:pPr>
        <w:pStyle w:val="Heading1"/>
      </w:pPr>
      <w:r>
        <w:t>BAB VII — PENJENJANGAN KOMPETENSI PESERTA DIDIK</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Tahun Pendidikan</w:t>
            </w:r>
          </w:p>
        </w:tc>
        <w:tc>
          <w:tcPr>
            <w:tcW w:type="dxa" w:w="2880"/>
          </w:tcPr>
          <w:p>
            <w:r>
              <w:t>Tingkat Kewenangan f.1–f.4</w:t>
            </w:r>
          </w:p>
        </w:tc>
        <w:tc>
          <w:tcPr>
            <w:tcW w:type="dxa" w:w="2880"/>
          </w:tcPr>
          <w:p>
            <w:r>
              <w:t>Supervisi</w:t>
            </w:r>
          </w:p>
        </w:tc>
      </w:tr>
      <w:tr>
        <w:tc>
          <w:tcPr>
            <w:tcW w:type="dxa" w:w="2880"/>
          </w:tcPr>
          <w:p>
            <w:r>
              <w:t>Tahun I</w:t>
            </w:r>
          </w:p>
        </w:tc>
        <w:tc>
          <w:tcPr>
            <w:tcW w:type="dxa" w:w="2880"/>
          </w:tcPr>
          <w:p>
            <w:r>
              <w:t>f.1 — observasi terbimbing</w:t>
            </w:r>
          </w:p>
        </w:tc>
        <w:tc>
          <w:tcPr>
            <w:tcW w:type="dxa" w:w="2880"/>
          </w:tcPr>
          <w:p>
            <w:r>
              <w:t>Langsung, tatap muka</w:t>
            </w:r>
          </w:p>
        </w:tc>
      </w:tr>
      <w:tr>
        <w:tc>
          <w:tcPr>
            <w:tcW w:type="dxa" w:w="2880"/>
          </w:tcPr>
          <w:p>
            <w:r>
              <w:t>Tahun II</w:t>
            </w:r>
          </w:p>
        </w:tc>
        <w:tc>
          <w:tcPr>
            <w:tcW w:type="dxa" w:w="2880"/>
          </w:tcPr>
          <w:p>
            <w:r>
              <w:t>f.2 — pelaksanaan dengan pendampingan</w:t>
            </w:r>
          </w:p>
        </w:tc>
        <w:tc>
          <w:tcPr>
            <w:tcW w:type="dxa" w:w="2880"/>
          </w:tcPr>
          <w:p>
            <w:r>
              <w:t>Tidak langsung, mudah dihubungi</w:t>
            </w:r>
          </w:p>
        </w:tc>
      </w:tr>
      <w:tr>
        <w:tc>
          <w:tcPr>
            <w:tcW w:type="dxa" w:w="2880"/>
          </w:tcPr>
          <w:p>
            <w:r>
              <w:t>Tahun III</w:t>
            </w:r>
          </w:p>
        </w:tc>
        <w:tc>
          <w:tcPr>
            <w:tcW w:type="dxa" w:w="2880"/>
          </w:tcPr>
          <w:p>
            <w:r>
              <w:t>f.3 — pelaksanaan mandiri dengan supervisi berkala</w:t>
            </w:r>
          </w:p>
        </w:tc>
        <w:tc>
          <w:tcPr>
            <w:tcW w:type="dxa" w:w="2880"/>
          </w:tcPr>
          <w:p>
            <w:r>
              <w:t>Berkala terjadwal</w:t>
            </w:r>
          </w:p>
        </w:tc>
      </w:tr>
      <w:tr>
        <w:tc>
          <w:tcPr>
            <w:tcW w:type="dxa" w:w="2880"/>
          </w:tcPr>
          <w:p>
            <w:r>
              <w:t>Tahun IV</w:t>
            </w:r>
          </w:p>
        </w:tc>
        <w:tc>
          <w:tcPr>
            <w:tcW w:type="dxa" w:w="2880"/>
          </w:tcPr>
          <w:p>
            <w:r>
              <w:t>f.4 — mandiri penuh</w:t>
            </w:r>
          </w:p>
        </w:tc>
        <w:tc>
          <w:tcPr>
            <w:tcW w:type="dxa" w:w="2880"/>
          </w:tcPr>
          <w:p>
            <w:r>
              <w:t>Evaluasi periodik</w:t>
            </w:r>
          </w:p>
        </w:tc>
      </w:tr>
    </w:tbl>
    <w:p>
      <w:r>
        <w:rPr>
          <w:b/>
        </w:rPr>
        <w:t xml:space="preserve">⚠ TINJAU TENAGA KESEHATAN — </w:t>
      </w:r>
      <w:r>
        <w:rPr>
          <w:i/>
        </w:rPr>
        <w:t>tabel penjenjangan tahun pendidikan di atas bersifat ilustratif; rujukan resmi dan mengikat tetap P4 (Matriks Kewenangan Klinis Bertingkat).</w:t>
      </w:r>
    </w:p>
    <w:p>
      <w:pPr>
        <w:pStyle w:val="Heading1"/>
      </w:pPr>
      <w:r>
        <w:t>BAB VIII — INTEGRASI: HOLISTIK SEBAGAI WUJUD IHSAN</w:t>
      </w:r>
    </w:p>
    <w:p>
      <w:r>
        <w:t>Pendekatan holistik pada akhirnya adalah bentuk ihsan dalam pelayanan — bekerja seakan-akan disaksikan, memberi lebih dari sekadar memenuhi kewajiban minimal, memperlakukan pasien sebagaimana dokter ingin diperlakukan bila ia sendiri yang sakit.</w:t>
      </w:r>
    </w:p>
    <w:p>
      <w:r>
        <w:rPr>
          <w:b/>
        </w:rPr>
        <w:t xml:space="preserve">🕌 LANDASAN HADITS — </w:t>
      </w:r>
      <w:r>
        <w:t xml:space="preserve">"Ihsan adalah engkau menyembah Allah seakan-akan engkau melihat-Nya, dan jika engkau tidak mampu melihat-Nya, maka sesungguhnya Dia melihatmu." (HR. Muslim (Hadits Jibril)). </w:t>
      </w:r>
      <w:r>
        <w:rPr>
          <w:i/>
        </w:rPr>
        <w:t>Prinsip ihsan ini relevan bagi setiap profesi, termasuk kedokteran: ketelitian dan kesungguhan dalam bekerja bukan karena diawasi manusia, melainkan karena kesadaran diawasi Allah.</w:t>
      </w:r>
    </w:p>
    <w:p>
      <w:r>
        <w:rPr>
          <w:i/>
        </w:rPr>
        <w:t>Dalil Al-Qur'an dan Hadits dalam dokumen ini disajikan sebagai penguat nilai, bukan sebagai fatwa hukum; rujuk ulama/ahli untuk persoalan hukum fikih spesifik. Naskah ini merupakan draf awal dan memerlukan tinjauan ulama serta tenaga kesehatan sebelum digunakan sebagai rujukan resmi.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