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B15 dari Klaster Digital — Ekosistem Buku Pendidikan Dokter Keluarga Layanan Primer Berbasis Al-Qur'an dan Hadits</w:t>
      </w:r>
    </w:p>
    <w:p>
      <w:r>
        <w:t>B15 — Pelayanan Transisional: Menjembatani Perpindahan Fase Perawatan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Mengapa Transisi Perawatan Berisiko Tinggi</w:t>
      </w:r>
    </w:p>
    <w:p>
      <w:pPr>
        <w:pStyle w:val="Heading2"/>
      </w:pPr>
      <w:r>
        <w:t>Risiko Hilangnya Informasi dan Kontinuitas</w:t>
      </w:r>
    </w:p>
    <w:p>
      <w:r>
        <w:t>Setiap perpindahan tanggung jawab perawatan membawa risiko hilangnya informasi klinis dan terputusnya kontinuitas pengobatan. Periode pasca-pulang rawat inap secara konsisten dilaporkan sebagai periode risiko tinggi terjadinya readmisi yang berpotensi dicegah.</w:t>
      </w:r>
    </w:p>
    <w:p>
      <w:pPr>
        <w:pStyle w:val="Heading2"/>
      </w:pPr>
      <w:r>
        <w:t>Peran Dokter Layanan Primer sebagai Penjaga Kesinambungan</w:t>
      </w:r>
    </w:p>
    <w:p>
      <w:r>
        <w:t>Dokter layanan primer, sebagai penyedia continuity of care, memiliki posisi unik menjaga kesinambungan informasi lintas titik transisi — peran yang tidak dapat digantikan dokter spesialis rumah sakit yang bersifat episodik.</w:t>
      </w:r>
    </w:p>
    <w:p>
      <w:pPr>
        <w:pStyle w:val="Heading1"/>
      </w:pPr>
      <w:r>
        <w:t>BAB II — Kerangka Six Core Elements of Health Care Transition</w:t>
      </w:r>
    </w:p>
    <w:p>
      <w:pPr>
        <w:pStyle w:val="Heading2"/>
      </w:pPr>
      <w:r>
        <w:t>Enam Elemen Inti</w:t>
      </w:r>
    </w:p>
    <w:p>
      <w:r>
        <w:rPr>
          <w:b/>
        </w:rPr>
        <w:t xml:space="preserve">📖 LANDASAN AL-QUR'AN — </w:t>
      </w:r>
      <w:r>
        <w:t xml:space="preserve">"Maka sesungguhnya beserta kesulitan ada kemudahan. Sesungguhnya beserta kesulitan ada kemudahan." (QS. Al-Insyirah (94): 5-6, Terjemahan Kemenag RI). </w:t>
      </w:r>
      <w:r>
        <w:rPr>
          <w:i/>
        </w:rPr>
        <w:t>Relevan sebagai penguat harapan bagi pasien yang menjalani masa transisi perawatan yang panjang dan tidak selalu mudah.</w:t>
      </w:r>
    </w:p>
    <w:p>
      <w:r>
        <w:t>Got Transition — didukung American Academy of Pediatrics, American Academy of Family Physicians, dan American College of Physicians — mengembangkan kerangka Six Core Elements: kebijakan transisi tertulis, pelacakan dan pemantauan progres, penilaian kesiapan transisi, perencanaan perawatan dewasa, transfer ke klinisi dewasa, dan konfirmasi penyelesaian transfer.</w:t>
      </w:r>
    </w:p>
    <w:p>
      <w:pPr>
        <w:pStyle w:val="Heading2"/>
      </w:pPr>
      <w:r>
        <w:t>Adaptasi untuk Konteks Layanan Primer Indonesia</w:t>
      </w:r>
    </w:p>
    <w:p>
      <w:r>
        <w:t>Kerangka ini awalnya dirancang untuk transisi remaja ke layanan dewasa, namun prinsip strukturnya — kebijakan tertulis, pelacakan sistematis, dan konfirmasi transfer — dapat diadaptasi untuk jenis transisi perawatan lain di layanan primer Indonesia.</w:t>
      </w:r>
    </w:p>
    <w:p>
      <w:pPr>
        <w:pStyle w:val="Heading1"/>
      </w:pPr>
      <w:r>
        <w:t>BAB III — Transisi Remaja dengan Kondisi Kronis ke Layanan Dewasa</w:t>
      </w:r>
    </w:p>
    <w:p>
      <w:pPr>
        <w:pStyle w:val="Heading2"/>
      </w:pPr>
      <w:r>
        <w:t>Kapan Memulai Penilaian Kesiapan</w:t>
      </w:r>
    </w:p>
    <w:p>
      <w:r>
        <w:t>Penilaian kesiapan transisi idealnya dimulai sejak usia 14-16 tahun — bukan mendadak saat pasien dewasa — memberi waktu remaja dan keluarga mempersiapkan kemandirian mengelola kondisi kesehatannya.</w:t>
      </w:r>
    </w:p>
    <w:p>
      <w:pPr>
        <w:pStyle w:val="Heading2"/>
      </w:pPr>
      <w:r>
        <w:t>Kondisi yang Relevan di Indonesia</w:t>
      </w:r>
    </w:p>
    <w:p>
      <w:r>
        <w:t>Relevan khususnya bagi remaja dengan diabetes tipe 1, penyakit jantung bawaan, atau disabilitas intelektual/perkembangan yang sebelumnya dikelola layanan pediatrik dan perlu beralih ke layanan primer dewasa secara terencana.</w:t>
      </w:r>
    </w:p>
    <w:p>
      <w:pPr>
        <w:pStyle w:val="Heading1"/>
      </w:pPr>
      <w:r>
        <w:t>BAB IV — Transisi Rumah Sakit ke Rumah: Rekonsiliasi Obat</w:t>
      </w:r>
    </w:p>
    <w:p>
      <w:pPr>
        <w:pStyle w:val="Heading2"/>
      </w:pPr>
      <w:r>
        <w:t>Rekonsiliasi Obat sebagai Langkah Kritis</w:t>
      </w:r>
    </w:p>
    <w:p>
      <w:r>
        <w:t>Elemen kunci transisi aman meliputi rekonsiliasi obat — memastikan daftar obat pasca-pulang akurat, tanpa duplikasi atau interaksi dengan obat rutin sebelumnya — sebagai langkah pertama yang paling sering diabaikan.</w:t>
      </w:r>
    </w:p>
    <w:p>
      <w:r>
        <w:t>Kesalahan rekonsiliasi obat merupakan salah satu penyebab tersering readmisi yang berpotensi dicegah, terutama pada pasien lansia dengan polifarmasi.</w:t>
      </w:r>
    </w:p>
    <w:p>
      <w:pPr>
        <w:pStyle w:val="Heading1"/>
      </w:pPr>
      <w:r>
        <w:t>BAB V — Komunikasi Ringkasan Pulang dan Tindak Lanjut</w:t>
      </w:r>
    </w:p>
    <w:p>
      <w:pPr>
        <w:pStyle w:val="Heading2"/>
      </w:pPr>
      <w:r>
        <w:t>Memastikan Ringkasan Pulang Diterima dan Dipahami</w:t>
      </w:r>
    </w:p>
    <w:p>
      <w:r>
        <w:t>Pasien perlu memahami tanda bahaya yang memerlukan kontak segera dan memiliki jadwal tindak lanjut yang jelas. Ringkasan pulang harus benar-benar diterima dan dibaca dokter layanan primer, bukan sekadar diarsipkan.</w:t>
      </w:r>
    </w:p>
    <w:p>
      <w:pPr>
        <w:pStyle w:val="Heading2"/>
      </w:pPr>
      <w:r>
        <w:t>Kontak Proaktif Pasca-Pulang</w:t>
      </w:r>
    </w:p>
    <w:p>
      <w:r>
        <w:t>Dokter layanan primer idealnya melakukan kontak proaktif dalam 48-72 jam pasca-pulang untuk pasien berisiko tinggi (lansia, polifarmasi, diagnosis kompleks), bukan menunggu pasien datang bila terjadi masalah.</w:t>
      </w:r>
    </w:p>
    <w:p>
      <w:pPr>
        <w:pStyle w:val="Heading1"/>
      </w:pPr>
      <w:r>
        <w:t>BAB VI — Transisi Menuju Perawatan Paliatif</w:t>
      </w:r>
    </w:p>
    <w:p>
      <w:pPr>
        <w:pStyle w:val="Heading2"/>
      </w:pPr>
      <w:r>
        <w:t>Kesulitan Emosional Transisi Tujuan Perawatan</w:t>
      </w:r>
    </w:p>
    <w:p>
      <w:r>
        <w:rPr>
          <w:b/>
        </w:rPr>
        <w:t xml:space="preserve">🕌 LANDASAN HADITS — </w:t>
      </w:r>
      <w:r>
        <w:t xml:space="preserve">"Amal yang paling dicintai Allah adalah yang paling kontinu (istiqamah), sekalipun sedikit." (HR. Bukhari dan Muslim). </w:t>
      </w:r>
      <w:r>
        <w:rPr>
          <w:i/>
        </w:rPr>
        <w:t>Menjadi dasar filosofis pelayanan transisional: konsistensi perawatan lintas fase lebih bernilai daripada intervensi besar yang terputus-putus.</w:t>
      </w:r>
    </w:p>
    <w:p>
      <w:r>
        <w:t>Transisi dari perawatan kuratif aktif ke perawatan paliatif merupakan salah satu transisi tersulit secara emosional bagi pasien, keluarga, dan tenaga kesehatan.</w:t>
      </w:r>
    </w:p>
    <w:p>
      <w:r>
        <w:t>Detail tata laksana paliatif dibahas lebih mendalam pada B19; buku ini menekankan aspek transisi (perpindahan tujuan dan tanggung jawab perawatan), bukan tata laksana klinis paliatif itu sendiri.</w:t>
      </w:r>
    </w:p>
    <w:p>
      <w:pPr>
        <w:pStyle w:val="Heading1"/>
      </w:pPr>
      <w:r>
        <w:t>BAB VII — Membangun Sistem Transisi di Fasilitas Layanan Primer</w:t>
      </w:r>
    </w:p>
    <w:p>
      <w:pPr>
        <w:pStyle w:val="Heading2"/>
      </w:pPr>
      <w:r>
        <w:t>Transisi sebagai Kompetensi Sistem, Bukan Individual</w:t>
      </w:r>
    </w:p>
    <w:p>
      <w:r>
        <w:t>Transisi yang aman tidak boleh bergantung pada inisiatif individual dokter, melainkan perlu didukung sistem: daftar periksa transisi standar, alur komunikasi terstruktur dengan rumah sakit rujukan, dan mekanisme pelacakan pasien pasca-pulang.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ke-9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elemen dasar Six Core Elements dan mempraktikkan rekonsiliasi obat di bawah observasi.</w:t>
            </w:r>
          </w:p>
        </w:tc>
        <w:tc>
          <w:tcPr>
            <w:tcW w:type="dxa" w:w="2160"/>
          </w:tcPr>
          <w:p>
            <w:r>
              <w:t>Praktik selalu di bawah pengawasan langsung pembimbing klinis.</w:t>
            </w:r>
          </w:p>
        </w:tc>
        <w:tc>
          <w:tcPr>
            <w:tcW w:type="dxa" w:w="2160"/>
          </w:tcPr>
          <w:p>
            <w:r>
              <w:t>Mampu melakukan rekonsiliasi obat dasar pasca-pulang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penilaian kesiapan transisi remaja dan kontak proaktif pasca-pulang dengan bimbingan tidak langsung.</w:t>
            </w:r>
          </w:p>
        </w:tc>
        <w:tc>
          <w:tcPr>
            <w:tcW w:type="dxa" w:w="2160"/>
          </w:tcPr>
          <w:p>
            <w:r>
              <w:t>Supervisi tidak langsung; pembimbing dapat dihubungi sewaktu-waktu.</w:t>
            </w:r>
          </w:p>
        </w:tc>
        <w:tc>
          <w:tcPr>
            <w:tcW w:type="dxa" w:w="2160"/>
          </w:tcPr>
          <w:p>
            <w:r>
              <w:t>Mampu menyusun rencana transisi remaja dasar dan melakukan kontak tindak lanjut terstruktur.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pengelolaan transisi kompleks (multi-morbiditas, transisi paliatif) secara mandiri.</w:t>
            </w:r>
          </w:p>
        </w:tc>
        <w:tc>
          <w:tcPr>
            <w:tcW w:type="dxa" w:w="2160"/>
          </w:tcPr>
          <w:p>
            <w:r>
              <w:t>Mandiri untuk kasus rutin; supervisi insidental untuk kasus kompleks.</w:t>
            </w:r>
          </w:p>
        </w:tc>
        <w:tc>
          <w:tcPr>
            <w:tcW w:type="dxa" w:w="2160"/>
          </w:tcPr>
          <w:p>
            <w:r>
              <w:t>Mampu memimpin proses transisi pasien kompleks lintas fasilitas dan tujuan perawatan.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Membangun sistem transisi di fasilitas layanan primer dan membimbing peserta didik junior.</w:t>
            </w:r>
          </w:p>
        </w:tc>
        <w:tc>
          <w:tcPr>
            <w:tcW w:type="dxa" w:w="2160"/>
          </w:tcPr>
          <w:p>
            <w:r>
              <w:t>Otonomi penuh, termasuk tanggung jawab mengarahkan peserta didik baru.</w:t>
            </w:r>
          </w:p>
        </w:tc>
        <w:tc>
          <w:tcPr>
            <w:tcW w:type="dxa" w:w="2160"/>
          </w:tcPr>
          <w:p>
            <w:r>
              <w:t>Mampu merancang daftar periksa transisi standar untuk wahana pendidikan.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memahami kerangka Six Core Elements of Health Care Transition dan dapat mengadaptasinya?</w:t>
      </w:r>
    </w:p>
    <w:p>
      <w:r>
        <w:t>• Apakah saya dapat menyusun rencana transisi remaja dengan penyakit kronis dari layanan anak ke dewasa?</w:t>
      </w:r>
    </w:p>
    <w:p>
      <w:r>
        <w:t>• Apakah saya melakukan rekonsiliasi obat sistematis pada pasien pasca-pulang rawat inap?</w:t>
      </w:r>
    </w:p>
    <w:p>
      <w:r>
        <w:t>• Apakah saya memiliki mekanisme kontak proaktif pasca-pulang untuk pasien berisiko tinggi?</w:t>
      </w:r>
    </w:p>
    <w:p>
      <w:r>
        <w:t>• Apakah saya dapat mengidentifikasi titik-titik transisi berisiko tinggi pada pasien saya?</w:t>
      </w:r>
    </w:p>
    <w:p>
      <w:pPr>
        <w:pStyle w:val="Heading1"/>
      </w:pPr>
      <w:r>
        <w:t>BAB X — Penutup</w:t>
      </w:r>
    </w:p>
    <w:p>
      <w:r>
        <w:t>Transisi perawatan yang aman adalah kompetensi sistem, bukan hanya kompetensi individual. Buku ini melengkapi B7 dengan fokus pada momen-momen perpindahan yang lebih luas dari sekadar rujukan darurat.</w:t>
      </w:r>
    </w:p>
    <w:p>
      <w:r>
        <w:t>Buku ini disusun merujuk pada standar nasional (Tabel 10 Kepkonsil No. HK.01.02/KKI/1318/2026, komponen kompetensi ke-9) dan standar internasional dari Got Transition® — National Resource Center on Health Care Transition (https://www.gottransition.org/).</w:t>
      </w:r>
    </w:p>
    <w:p>
      <w:r>
        <w:t>Glosarium</w:t>
      </w:r>
    </w:p>
    <w:p>
      <w:r>
        <w:t>Transisi perawatan</w:t>
      </w:r>
    </w:p>
    <w:p>
      <w:r>
        <w:t>Perpindahan tanggung jawab perawatan pasien antar tingkat, jenis, atau lokasi layanan kesehatan.</w:t>
      </w:r>
    </w:p>
    <w:p>
      <w:r>
        <w:t>Rekonsiliasi obat</w:t>
      </w:r>
    </w:p>
    <w:p>
      <w:r>
        <w:t>Proses memastikan daftar obat pasien akurat dan konsisten pada setiap titik transisi perawatan.</w:t>
      </w:r>
    </w:p>
    <w:p>
      <w:r>
        <w:t>Daftar Pustaka</w:t>
      </w:r>
    </w:p>
    <w:p>
      <w:r>
        <w:t>1. Got Transition®. Six Core Elements of Health Care Transition. https://www.gottransition.org/six-core-elements/</w:t>
      </w:r>
    </w:p>
    <w:p>
      <w:r>
        <w:t>2. Got Transition®. https://www.gottransition.org/</w:t>
      </w:r>
    </w:p>
    <w:p>
      <w:pPr>
        <w:pStyle w:val="Heading1"/>
      </w:pPr>
      <w:r>
        <w:t>INTEGRASI — NILAI DI BALIK PRAKTIK KLINIS</w:t>
      </w:r>
    </w:p>
    <w:p>
      <w:r>
        <w:t>Pelayanan transisional yang baik adalah bentuk istiqamah dalam merawat — menjaga kesinambungan perhatian pada pasien melewati setiap fase perubahan kondisinya.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