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Perpustakaan Digital Layanan Primer Islami</w:t>
      </w:r>
    </w:p>
    <w:p>
      <w:r>
        <w:t>Jl. Kerinci Raya No. 9, Malang 65138</w:t>
      </w:r>
    </w:p>
    <w:p>
      <w:r>
        <w:t>Buku Tematik B17 dari Klaster Digital — Ekosistem Buku Pendidikan Dokter Keluarga Layanan Primer Berbasis Al-Qur'an dan Hadits</w:t>
      </w:r>
    </w:p>
    <w:p>
      <w:r>
        <w:t>B17 — Kedokteran Gaya Hidup: Kebugaran sebagai Terapi Utama — Perspektif Al-Qur'an dan Hadits</w:t>
      </w:r>
    </w:p>
    <w:p>
      <w:r>
        <w:t>Disusun oleh</w:t>
      </w:r>
    </w:p>
    <w:p>
      <w:r>
        <w:t>Dr.dr. H. Budi Siswanto, Sp.OG., Subsp.Obginsos., SH., S.Kom.</w:t>
      </w:r>
    </w:p>
    <w:p>
      <w:r>
        <w:t>2026</w:t>
      </w:r>
    </w:p>
    <w:p>
      <w:pPr>
        <w:pStyle w:val="Heading1"/>
      </w:pPr>
      <w:r>
        <w:t>BAB I — Kebugaran sebagai Modalitas Terapi, Bukan Sekadar Anjuran</w:t>
      </w:r>
    </w:p>
    <w:p>
      <w:pPr>
        <w:pStyle w:val="Heading2"/>
      </w:pPr>
      <w:r>
        <w:t>Definisi dan Enam Pilar Kedokteran Gaya Hidup</w:t>
      </w:r>
    </w:p>
    <w:p>
      <w:r>
        <w:t>ACLM mendefinisikan kedokteran gaya hidup sebagai penggunaan intervensi gaya hidup terapeutik berbasis bukti sebagai modalitas utama untuk mencegah, mengobati, dan sering kali membalikkan penyakit kronis.</w:t>
      </w:r>
    </w:p>
    <w:p>
      <w:r>
        <w:t>Enam pilar yang menjadi kerangka kerja: pola makan berbasis nabati predominan (whole-food, plant-predominant), aktivitas fisik teratur, tidur restoratif, manajemen stres, hubungan sosial positif, dan penghindaran zat berisiko.</w:t>
      </w:r>
    </w:p>
    <w:p>
      <w:pPr>
        <w:pStyle w:val="Heading2"/>
      </w:pPr>
      <w:r>
        <w:t>Pergeseran Paradigma: Meresepkan, Bukan Menganjurkan</w:t>
      </w:r>
    </w:p>
    <w:p>
      <w:r>
        <w:t>Pergeseran paradigma penting: dari 'menganjurkan pasien hidup sehat sebagai pelengkap obat' menjadi 'meresepkan perubahan gaya hidup sebagai terapi lini pertama' dengan protokol yang seterstruktur resep farmakologis.</w:t>
      </w:r>
    </w:p>
    <w:p>
      <w:pPr>
        <w:pStyle w:val="Heading1"/>
      </w:pPr>
      <w:r>
        <w:t>BAB II — Prinsip Pola Makan Terapeutik</w:t>
      </w:r>
    </w:p>
    <w:p>
      <w:r>
        <w:rPr>
          <w:b/>
        </w:rPr>
        <w:t xml:space="preserve">📖 LANDASAN AL-QUR'AN — </w:t>
      </w:r>
      <w:r>
        <w:t xml:space="preserve">"Makan dan minumlah, tetapi jangan berlebihan. Sesungguhnya Allah tidak menyukai orang yang berlebihan." (QS. Al-A'raf (7): 31, Terjemahan Kemenag RI). </w:t>
      </w:r>
      <w:r>
        <w:rPr>
          <w:i/>
        </w:rPr>
        <w:t>Menjadi dasar nilai kedokteran gaya hidup: pola makan dan aktivitas fisik yang seimbang, bukan berlebihan ke arah mana pun.</w:t>
      </w:r>
    </w:p>
    <w:p>
      <w:pPr>
        <w:pStyle w:val="Heading2"/>
      </w:pPr>
      <w:r>
        <w:t>Bukti Pola Makan Whole-Food Plant-Predominant</w:t>
      </w:r>
    </w:p>
    <w:p>
      <w:r>
        <w:t>Bukti ilmiah mendukung pola makan whole-food, plant-predominant sebagai intervensi yang dapat mencegah dan pada beberapa kondisi membalikkan penyakit kardiometabolik.</w:t>
      </w:r>
    </w:p>
    <w:p>
      <w:pPr>
        <w:pStyle w:val="Heading2"/>
      </w:pPr>
      <w:r>
        <w:t>Konseling Nutrisi Praktis di Layanan Primer</w:t>
      </w:r>
    </w:p>
    <w:p>
      <w:r>
        <w:t>Pendekatan yang efektif menghindari anjuran generik ('makan lebih sehat') dan menggantinya dengan target konkret dan terukur yang disesuaikan konteks budaya makan pasien Indonesia.</w:t>
      </w:r>
    </w:p>
    <w:p>
      <w:pPr>
        <w:pStyle w:val="Heading1"/>
      </w:pPr>
      <w:r>
        <w:t>BAB III — Resep Aktivitas Fisik</w:t>
      </w:r>
    </w:p>
    <w:p>
      <w:pPr>
        <w:pStyle w:val="Heading2"/>
      </w:pPr>
      <w:r>
        <w:t>Dosis Aktivitas Fisik seperti Resep Obat</w:t>
      </w:r>
    </w:p>
    <w:p>
      <w:r>
        <w:t>Aktivitas fisik teratur memiliki efek terapeutik yang sebanding dengan farmakoterapi pada beberapa kondisi (depresi ringan-sedang, hipertensi ringan, diabetes tipe 2 awal). 'Resep aktivitas fisik' — dengan dosis frekuensi, intensitas, dan durasi yang spesifik seperti resep obat — meningkatkan kepatuhan dibanding anjuran umum.</w:t>
      </w:r>
    </w:p>
    <w:p>
      <w:pPr>
        <w:pStyle w:val="Heading2"/>
      </w:pPr>
      <w:r>
        <w:t>Mengatasi Hambatan Praktis di Layanan Primer Indonesia</w:t>
      </w:r>
    </w:p>
    <w:p>
      <w:r>
        <w:t>Hambatan praktis (keterbatasan waktu konsultasi, kurangnya alat ukur objektif) perlu diatasi dengan pendekatan pragmatis: target sederhana yang dapat dipantau pasien sendiri.</w:t>
      </w:r>
    </w:p>
    <w:p>
      <w:pPr>
        <w:pStyle w:val="Heading1"/>
      </w:pPr>
      <w:r>
        <w:t>BAB IV — Tidur Restoratif dan Manajemen Stres</w:t>
      </w:r>
    </w:p>
    <w:p>
      <w:pPr>
        <w:pStyle w:val="Heading2"/>
      </w:pPr>
      <w:r>
        <w:t>Tidur dan Stres sebagai Faktor Risiko Independen</w:t>
      </w:r>
    </w:p>
    <w:p>
      <w:r>
        <w:t>Gangguan tidur kronis dan stres yang tidak dikelola merupakan faktor risiko independen untuk penyakit kardiometabolik, gangguan mental, dan penurunan fungsi imun — namun sering tidak ditanyakan secara sistematis dalam konsultasi rutin.</w:t>
      </w:r>
    </w:p>
    <w:p>
      <w:pPr>
        <w:pStyle w:val="Heading2"/>
      </w:pPr>
      <w:r>
        <w:t>Skrining Tidur dan Stres sebagai Rutinitas</w:t>
      </w:r>
    </w:p>
    <w:p>
      <w:r>
        <w:t>Skrining tidur dan stres sederhana idealnya menjadi bagian rutin anamnesis, bukan hanya ditanyakan saat pasien mengeluhkan insomnia atau kecemasan secara eksplisit.</w:t>
      </w:r>
    </w:p>
    <w:p>
      <w:pPr>
        <w:pStyle w:val="Heading1"/>
      </w:pPr>
      <w:r>
        <w:t>BAB V — Konseling Perubahan Perilaku: Prinsip Dasar</w:t>
      </w:r>
    </w:p>
    <w:p>
      <w:pPr>
        <w:pStyle w:val="Heading2"/>
      </w:pPr>
      <w:r>
        <w:t>Motivational Interviewing</w:t>
      </w:r>
    </w:p>
    <w:p>
      <w:r>
        <w:t>Mengetahui rekomendasi gaya hidup yang benar tidak sama dengan mampu membantu pasien mengubah perilaku. Prinsip dasar motivational interviewing — mendengarkan reflektif, mengeksplorasi ambivalensi pasien, dan menghindari konfrontasi langsung — meningkatkan keberhasilan perubahan perilaku.</w:t>
      </w:r>
    </w:p>
    <w:p>
      <w:pPr>
        <w:pStyle w:val="Heading2"/>
      </w:pPr>
      <w:r>
        <w:t>Pendekatan Bertahap</w:t>
      </w:r>
    </w:p>
    <w:p>
      <w:r>
        <w:t>Pendekatan bertahap (small sustainable steps) lebih efektif dibanding target perubahan drastis sekaligus, terutama untuk pasien dengan riwayat kegagalan perubahan gaya hidup berulang.</w:t>
      </w:r>
    </w:p>
    <w:p>
      <w:pPr>
        <w:pStyle w:val="Heading1"/>
      </w:pPr>
      <w:r>
        <w:t>BAB VI — Menghindari Zat Berisiko dan Hubungan Sosial Positif</w:t>
      </w:r>
    </w:p>
    <w:p>
      <w:r>
        <w:rPr>
          <w:b/>
        </w:rPr>
        <w:t xml:space="preserve">🕌 LANDASAN HADITS — </w:t>
      </w:r>
      <w:r>
        <w:t xml:space="preserve">"Mukmin yang kuat lebih baik dan lebih dicintai Allah daripada mukmin yang lemah, dan pada keduanya ada kebaikan." (HR. Muslim). </w:t>
      </w:r>
      <w:r>
        <w:rPr>
          <w:i/>
        </w:rPr>
        <w:t>Menjadi motivasi nilai bagi anjuran aktivitas fisik rutin dan gaya hidup aktif yang dibahas dalam buku ini.</w:t>
      </w:r>
    </w:p>
    <w:p>
      <w:pPr>
        <w:pStyle w:val="Heading2"/>
      </w:pPr>
      <w:r>
        <w:t>Konseling Penghentian Merokok dan Alkohol</w:t>
      </w:r>
    </w:p>
    <w:p>
      <w:r>
        <w:t>Konseling penghentian merokok dan pembatasan alkohol tetap menjadi komponen kedokteran gaya hidup dengan bukti manfaat terkuat, namun sering tidak dilakukan secara terstruktur dalam konsultasi rutin.</w:t>
      </w:r>
    </w:p>
    <w:p>
      <w:pPr>
        <w:pStyle w:val="Heading2"/>
      </w:pPr>
      <w:r>
        <w:t>Hubungan Sosial sebagai Pilar yang Sering Diabaikan</w:t>
      </w:r>
    </w:p>
    <w:p>
      <w:r>
        <w:t>Hubungan sosial positif — pilar kedokteran gaya hidup yang sering diabaikan — memiliki dampak signifikan pada luaran kesehatan jangka panjang; skrining isolasi sosial sederhana layak dipertimbangkan terutama pada pasien lansia (lihat kaitan dengan B6).</w:t>
      </w:r>
    </w:p>
    <w:p>
      <w:pPr>
        <w:pStyle w:val="Heading1"/>
      </w:pPr>
      <w:r>
        <w:t>BAB VII — Mengintegrasikan Kedokteran Gaya Hidup ke Praktik Sehari-hari</w:t>
      </w:r>
    </w:p>
    <w:p>
      <w:pPr>
        <w:pStyle w:val="Heading2"/>
      </w:pPr>
      <w:r>
        <w:t>Penyesuaian Alur Konsultasi</w:t>
      </w:r>
    </w:p>
    <w:p>
      <w:r>
        <w:t>Integrasi praktis memerlukan penyesuaian alur konsultasi: menyelipkan pertanyaan gaya hidup terstruktur dalam waktu konsultasi terbatas, menggunakan bahan edukasi visual sederhana, dan memanfaatkan kunjungan tindak lanjut untuk memantau progres perubahan perilaku secara bertahap.</w:t>
      </w:r>
    </w:p>
    <w:p>
      <w:pPr>
        <w:pStyle w:val="Heading1"/>
      </w:pPr>
      <w:r>
        <w:t>BAB VIII — Penjenjangan Capaian Pembelajaran Tahun I–IV</w:t>
      </w:r>
    </w:p>
    <w:p>
      <w:r>
        <w:t>Penjenjangan berikut merupakan usulan kerangka penahapan berbasis pola umum pendidikan spesialis empat tahun, disesuaikan dengan komponen kompetensi ke-11 pada Tabel 10 Kepkonsil No. HK.01.02/KKI/1318/2026.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Tahun</w:t>
            </w:r>
          </w:p>
        </w:tc>
        <w:tc>
          <w:tcPr>
            <w:tcW w:type="dxa" w:w="2160"/>
          </w:tcPr>
          <w:p>
            <w:r>
              <w:t>Fokus Belajar Utama</w:t>
            </w:r>
          </w:p>
        </w:tc>
        <w:tc>
          <w:tcPr>
            <w:tcW w:type="dxa" w:w="2160"/>
          </w:tcPr>
          <w:p>
            <w:r>
              <w:t>Tingkat Kemandirian</w:t>
            </w:r>
          </w:p>
        </w:tc>
        <w:tc>
          <w:tcPr>
            <w:tcW w:type="dxa" w:w="2160"/>
          </w:tcPr>
          <w:p>
            <w:r>
              <w:t>Capaian yang Diharapkan</w:t>
            </w:r>
          </w:p>
        </w:tc>
      </w:tr>
      <w:tr>
        <w:tc>
          <w:tcPr>
            <w:tcW w:type="dxa" w:w="2160"/>
          </w:tcPr>
          <w:p>
            <w:r>
              <w:t>Tahun I</w:t>
            </w:r>
          </w:p>
        </w:tc>
        <w:tc>
          <w:tcPr>
            <w:tcW w:type="dxa" w:w="2160"/>
          </w:tcPr>
          <w:p>
            <w:r>
              <w:t>Mengenali enam pilar kedokteran gaya hidup dan mempraktikkan skrining dasar di bawah observasi.</w:t>
            </w:r>
          </w:p>
        </w:tc>
        <w:tc>
          <w:tcPr>
            <w:tcW w:type="dxa" w:w="2160"/>
          </w:tcPr>
          <w:p>
            <w:r>
              <w:t>Didampingi penuh oleh pembimbing pada setiap tindakan.</w:t>
            </w:r>
          </w:p>
        </w:tc>
        <w:tc>
          <w:tcPr>
            <w:tcW w:type="dxa" w:w="2160"/>
          </w:tcPr>
          <w:p>
            <w:r>
              <w:t>Mampu melakukan skrining gaya hidup dasar dengan supervisi penuh.</w:t>
            </w:r>
          </w:p>
        </w:tc>
      </w:tr>
      <w:tr>
        <w:tc>
          <w:tcPr>
            <w:tcW w:type="dxa" w:w="2160"/>
          </w:tcPr>
          <w:p>
            <w:r>
              <w:t>Tahun II</w:t>
            </w:r>
          </w:p>
        </w:tc>
        <w:tc>
          <w:tcPr>
            <w:tcW w:type="dxa" w:w="2160"/>
          </w:tcPr>
          <w:p>
            <w:r>
              <w:t>Menerapkan resep aktivitas fisik dan konseling nutrisi dasar dengan bimbingan tidak langsung.</w:t>
            </w:r>
          </w:p>
        </w:tc>
        <w:tc>
          <w:tcPr>
            <w:tcW w:type="dxa" w:w="2160"/>
          </w:tcPr>
          <w:p>
            <w:r>
              <w:t>Bimbingan tidak langsung, dengan akses konsultasi cepat.</w:t>
            </w:r>
          </w:p>
        </w:tc>
        <w:tc>
          <w:tcPr>
            <w:tcW w:type="dxa" w:w="2160"/>
          </w:tcPr>
          <w:p>
            <w:r>
              <w:t>Mampu menyusun target gaya hidup konkret dan terukur untuk pasien kardiometabolik.</w:t>
            </w:r>
          </w:p>
        </w:tc>
      </w:tr>
      <w:tr>
        <w:tc>
          <w:tcPr>
            <w:tcW w:type="dxa" w:w="2160"/>
          </w:tcPr>
          <w:p>
            <w:r>
              <w:t>Tahun III</w:t>
            </w:r>
          </w:p>
        </w:tc>
        <w:tc>
          <w:tcPr>
            <w:tcW w:type="dxa" w:w="2160"/>
          </w:tcPr>
          <w:p>
            <w:r>
              <w:t>Mengintegrasikan konseling perubahan perilaku pada kasus kompleks (kegagalan perubahan berulang).</w:t>
            </w:r>
          </w:p>
        </w:tc>
        <w:tc>
          <w:tcPr>
            <w:tcW w:type="dxa" w:w="2160"/>
          </w:tcPr>
          <w:p>
            <w:r>
              <w:t>Bekerja mandiri, supervisi hanya sesekali atau bila diperlukan.</w:t>
            </w:r>
          </w:p>
        </w:tc>
        <w:tc>
          <w:tcPr>
            <w:tcW w:type="dxa" w:w="2160"/>
          </w:tcPr>
          <w:p>
            <w:r>
              <w:t>Mampu menerapkan motivational interviewing untuk pasien dengan riwayat kegagalan perubahan gaya hidup.</w:t>
            </w:r>
          </w:p>
        </w:tc>
      </w:tr>
      <w:tr>
        <w:tc>
          <w:tcPr>
            <w:tcW w:type="dxa" w:w="2160"/>
          </w:tcPr>
          <w:p>
            <w:r>
              <w:t>Tahun IV</w:t>
            </w:r>
          </w:p>
        </w:tc>
        <w:tc>
          <w:tcPr>
            <w:tcW w:type="dxa" w:w="2160"/>
          </w:tcPr>
          <w:p>
            <w:r>
              <w:t>Membimbing peserta didik junior dalam kedokteran gaya hidup; menjadi rujukan internal wahana.</w:t>
            </w:r>
          </w:p>
        </w:tc>
        <w:tc>
          <w:tcPr>
            <w:tcW w:type="dxa" w:w="2160"/>
          </w:tcPr>
          <w:p>
            <w:r>
              <w:t>Sepenuhnya mandiri sekaligus membimbing rekan yang lebih junior.</w:t>
            </w:r>
          </w:p>
        </w:tc>
        <w:tc>
          <w:tcPr>
            <w:tcW w:type="dxa" w:w="2160"/>
          </w:tcPr>
          <w:p>
            <w:r>
              <w:t>Mampu merancang protokol lifestyle medicine untuk fasilitas layanan primer.</w:t>
            </w:r>
          </w:p>
        </w:tc>
      </w:tr>
    </w:tbl>
    <w:p>
      <w:pPr>
        <w:pStyle w:val="Heading1"/>
      </w:pPr>
      <w:r>
        <w:t>BAB IX — Evaluasi Diri dan Pertanyaan Reflektif</w:t>
      </w:r>
    </w:p>
    <w:p>
      <w:r>
        <w:t>• Apakah saya memposisikan gaya hidup sebagai terapi lini pertama, bukan sekadar anjuran pelengkap?</w:t>
      </w:r>
    </w:p>
    <w:p>
      <w:r>
        <w:t>• Apakah saya dapat memberikan resep aktivitas fisik dengan dosis spesifik, bukan anjuran umum?</w:t>
      </w:r>
    </w:p>
    <w:p>
      <w:r>
        <w:t>• Apakah saya secara rutin menanyakan kualitas tidur dan tingkat stres pasien?</w:t>
      </w:r>
    </w:p>
    <w:p>
      <w:r>
        <w:t>• Apakah saya menerapkan prinsip motivational interviewing dalam konseling perubahan perilaku?</w:t>
      </w:r>
    </w:p>
    <w:p>
      <w:r>
        <w:t>• Apakah saya menyadari hubungan sosial sebagai pilar kesehatan yang perlu diskrining?</w:t>
      </w:r>
    </w:p>
    <w:p>
      <w:pPr>
        <w:pStyle w:val="Heading1"/>
      </w:pPr>
      <w:r>
        <w:t>BAB X — Penutup</w:t>
      </w:r>
    </w:p>
    <w:p>
      <w:r>
        <w:t>Kedokteran gaya hidup melengkapi B2 dengan memposisikan intervensi non-farmakologis bukan sebagai pelengkap, melainkan terapi utama yang layak diresepkan seterstruktur farmakoterapi.</w:t>
      </w:r>
    </w:p>
    <w:p>
      <w:r>
        <w:t>Buku ini disusun merujuk pada standar nasional (Tabel 10 Kepkonsil No. HK.01.02/KKI/1318/2026, komponen kompetensi ke-11) dan standar internasional dari American College of Lifestyle Medicine (ACLM) (https://lifestylemedicine.org/).</w:t>
      </w:r>
    </w:p>
    <w:p>
      <w:r>
        <w:t>Glosarium</w:t>
      </w:r>
    </w:p>
    <w:p>
      <w:r>
        <w:t>Lifestyle medicine</w:t>
      </w:r>
    </w:p>
    <w:p>
      <w:r>
        <w:t>Penggunaan intervensi gaya hidup terapeutik berbasis bukti sebagai modalitas utama pencegahan dan pengobatan penyakit kronis.</w:t>
      </w:r>
    </w:p>
    <w:p>
      <w:r>
        <w:t>Resep aktivitas fisik</w:t>
      </w:r>
    </w:p>
    <w:p>
      <w:r>
        <w:t>Rekomendasi aktivitas fisik dengan frekuensi, intensitas, dan durasi spesifik seperti resep farmakologis.</w:t>
      </w:r>
    </w:p>
    <w:p>
      <w:r>
        <w:t>Daftar Pustaka</w:t>
      </w:r>
    </w:p>
    <w:p>
      <w:r>
        <w:t>1. American College of Lifestyle Medicine. https://lifestylemedicine.org/</w:t>
      </w:r>
    </w:p>
    <w:p>
      <w:pPr>
        <w:pStyle w:val="Heading1"/>
      </w:pPr>
      <w:r>
        <w:t>INTEGRASI — NILAI DI BALIK PRAKTIK KLINIS</w:t>
      </w:r>
    </w:p>
    <w:p>
      <w:r>
        <w:t>Kedokteran gaya hidup pada dasarnya menuntun pasien kembali pada keseimbangan yang telah lama diajarkan — tidak berlebihan, dan menjaga kekuatan tubuh sebagai bagian dari ibadah keseharian.</w:t>
      </w:r>
    </w:p>
    <w:p>
      <w:r>
        <w:rPr>
          <w:i/>
        </w:rPr>
        <w:t>Dalil Al-Qur'an dan Hadits dalam dokumen ini disajikan sebagai penguat nilai, bukan sebagai fatwa hukum; rujuk ulama/ahli untuk persoalan hukum fikih spesifik. Naskah ini merupakan draf awal dan memerlukan tinjauan ulama serta tenaga kesehatan sebelum digunakan sebagai rujukan resmi.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