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Perpustakaan Digital Layanan Primer Islami</w:t>
      </w:r>
    </w:p>
    <w:p>
      <w:r>
        <w:t>Jl. Kerinci Raya No. 9, Malang 65138</w:t>
      </w:r>
    </w:p>
    <w:p>
      <w:r>
        <w:t>Buku Tematik B20 dari Klaster Digital — Ekosistem Buku Pendidikan Dokter Keluarga Layanan Primer Berbasis Al-Qur'an dan Hadits</w:t>
      </w:r>
    </w:p>
    <w:p>
      <w:r>
        <w:t>B20 — Kedokteran Perkotaan: Layanan Primer di Tengah Kepadatan dan Kesenjangan Kota — Perspektif Al-Qur'an dan Hadits</w:t>
      </w:r>
    </w:p>
    <w:p>
      <w:r>
        <w:t>Disusun oleh</w:t>
      </w:r>
    </w:p>
    <w:p>
      <w:r>
        <w:t>Dr.dr. H. Budi Siswanto, Sp.OG., Subsp.Obginsos., SH., S.Kom.</w:t>
      </w:r>
    </w:p>
    <w:p>
      <w:r>
        <w:t>2026</w:t>
      </w:r>
    </w:p>
    <w:p>
      <w:pPr>
        <w:pStyle w:val="Heading1"/>
      </w:pPr>
      <w:r>
        <w:t>BAB I — Paradoks Kesehatan Perkotaan</w:t>
      </w:r>
    </w:p>
    <w:p>
      <w:pPr>
        <w:pStyle w:val="Heading2"/>
      </w:pPr>
      <w:r>
        <w:t>Manfaat dan Risiko Urbanisasi</w:t>
      </w:r>
    </w:p>
    <w:p>
      <w:r>
        <w:t>WHO mencatat urbanisasi membawa manfaat kesehatan (akses fasilitas, infrastruktur) sekaligus risiko baru: polusi udara, kepadatan penduduk yang mempercepat penularan penyakit infeksi, gaya hidup sedentari, dan isolasi sosial di tengah keramaian.</w:t>
      </w:r>
    </w:p>
    <w:p>
      <w:pPr>
        <w:pStyle w:val="Heading2"/>
      </w:pPr>
      <w:r>
        <w:t>Kesenjangan Intra-Kota</w:t>
      </w:r>
    </w:p>
    <w:p>
      <w:r>
        <w:t>Kesenjangan kesehatan intra-kota — antara permukiman kumuh dan kawasan elit dalam kota yang sama — sering lebih tajam dibanding kesenjangan kota-desa, realitas yang memerlukan kepekaan dokter terhadap variasi kondisi hidup pasien meski berpraktik di lokasi geografis yang sama.</w:t>
      </w:r>
    </w:p>
    <w:p>
      <w:pPr>
        <w:pStyle w:val="Heading1"/>
      </w:pPr>
      <w:r>
        <w:t>BAB II — Polusi Udara dan Dampak Kesehatan Respiratorik-Kardiovaskular</w:t>
      </w:r>
    </w:p>
    <w:p>
      <w:pPr>
        <w:pStyle w:val="Heading2"/>
      </w:pPr>
      <w:r>
        <w:t>Paparan Kronis dan Risiko Jangka Panjang</w:t>
      </w:r>
    </w:p>
    <w:p>
      <w:r>
        <w:rPr>
          <w:b/>
        </w:rPr>
        <w:t xml:space="preserve">📖 LANDASAN AL-QUR'AN — </w:t>
      </w:r>
      <w:r>
        <w:t xml:space="preserve">"Tahukah kamu (orang) yang mendustakan agama? Itulah orang yang menghardik anak yatim, dan tidak mendorong memberi makan orang miskin." (QS. Al-Ma'un (107): 1-3, Terjemahan Kemenag RI). </w:t>
      </w:r>
      <w:r>
        <w:rPr>
          <w:i/>
        </w:rPr>
        <w:t>Menjadi dasar kepedulian terhadap kesenjangan akses kesehatan di wilayah perkotaan, khususnya bagi warga miskin kota dan kelompok terpinggirkan.</w:t>
      </w:r>
    </w:p>
    <w:p>
      <w:r>
        <w:t>Paparan polusi udara kronis di kota-kota besar Indonesia berkontribusi terhadap peningkatan prevalensi penyakit respiratorik kronis dan risiko kardiovaskular.</w:t>
      </w:r>
    </w:p>
    <w:p>
      <w:pPr>
        <w:pStyle w:val="Heading2"/>
      </w:pPr>
      <w:r>
        <w:t>Edukasi Mitigasi Paparan</w:t>
      </w:r>
    </w:p>
    <w:p>
      <w:r>
        <w:t>Edukasi praktis tentang mitigasi paparan — penggunaan masker pada hari kualitas udara buruk, ventilasi rumah — merupakan intervensi sederhana yang dapat diintegrasikan dalam konsultasi rutin pasien berisiko tinggi.</w:t>
      </w:r>
    </w:p>
    <w:p>
      <w:pPr>
        <w:pStyle w:val="Heading1"/>
      </w:pPr>
      <w:r>
        <w:t>BAB III — Kesehatan Penduduk Permukiman Padat dan Informal</w:t>
      </w:r>
    </w:p>
    <w:p>
      <w:pPr>
        <w:pStyle w:val="Heading2"/>
      </w:pPr>
      <w:r>
        <w:t>Tantangan Kesehatan Spesifik Permukiman Informal</w:t>
      </w:r>
    </w:p>
    <w:p>
      <w:r>
        <w:t>Permukiman padat dan informal perkotaan menghadapi tantangan kesehatan spesifik: sanitasi terbatas, kepadatan hunian yang mempercepat penularan penyakit infeksi, dan akses air bersih yang tidak konsisten.</w:t>
      </w:r>
    </w:p>
    <w:p>
      <w:pPr>
        <w:pStyle w:val="Heading2"/>
      </w:pPr>
      <w:r>
        <w:t>Menyesuaikan Ekspektasi Kepatuhan</w:t>
      </w:r>
    </w:p>
    <w:p>
      <w:r>
        <w:t>Dokter layanan primer yang melayani populasi ini perlu menyesuaikan ekspektasi kepatuhan pengobatan dengan realitas kondisi hidup pasien — misalnya mempertimbangkan keterbatasan penyimpanan obat yang memerlukan pendinginan pada rumah tanpa listrik stabil.</w:t>
      </w:r>
    </w:p>
    <w:p>
      <w:pPr>
        <w:pStyle w:val="Heading1"/>
      </w:pPr>
      <w:r>
        <w:t>BAB IV — Gaya Hidup Sedentari dan Lingkungan Terbangun</w:t>
      </w:r>
    </w:p>
    <w:p>
      <w:pPr>
        <w:pStyle w:val="Heading2"/>
      </w:pPr>
      <w:r>
        <w:t>Desain Kota yang Tidak Ramah Aktivitas Fisik</w:t>
      </w:r>
    </w:p>
    <w:p>
      <w:r>
        <w:t>Desain kota yang tidak ramah pejalan kaki dan minim ruang terbuka hijau berkontribusi terhadap gaya hidup sedentari penduduk kota.</w:t>
      </w:r>
    </w:p>
    <w:p>
      <w:pPr>
        <w:pStyle w:val="Heading2"/>
      </w:pPr>
      <w:r>
        <w:t>Rekomendasi Alternatif Kreatif</w:t>
      </w:r>
    </w:p>
    <w:p>
      <w:r>
        <w:t>Rekomendasi alternatif kreatif — memanfaatkan tangga alih-alih lift, jalan kaki di dalam ruangan ber-AC saat cuaca ekstrem — dapat menjadi solusi pragmatis di tengah keterbatasan ruang terbuka.</w:t>
      </w:r>
    </w:p>
    <w:p>
      <w:pPr>
        <w:pStyle w:val="Heading1"/>
      </w:pPr>
      <w:r>
        <w:t>BAB V — Isolasi Sosial di Tengah Kepadatan</w:t>
      </w:r>
    </w:p>
    <w:p>
      <w:pPr>
        <w:pStyle w:val="Heading2"/>
      </w:pPr>
      <w:r>
        <w:t>Paradoks Kesehatan Mental Perkotaan</w:t>
      </w:r>
    </w:p>
    <w:p>
      <w:r>
        <w:t>Kepadatan penduduk tinggi tidak menjamin koneksi sosial bermakna — banyak penduduk kota, terutama pekerja migran dan lansia yang tinggal jauh dari keluarga besar, mengalami isolasi sosial signifikan meski dikelilingi banyak orang.</w:t>
      </w:r>
    </w:p>
    <w:p>
      <w:pPr>
        <w:pStyle w:val="Heading1"/>
      </w:pPr>
      <w:r>
        <w:t>BAB VI — Akses Layanan di Tengah Kemacetan dan Keterbatasan Waktu</w:t>
      </w:r>
    </w:p>
    <w:p>
      <w:pPr>
        <w:pStyle w:val="Heading2"/>
      </w:pPr>
      <w:r>
        <w:t>Hambatan Akses Non-Geografis</w:t>
      </w:r>
    </w:p>
    <w:p>
      <w:r>
        <w:t>Kemacetan dan tuntutan pekerjaan perkotaan menciptakan hambatan akses layanan kesehatan yang berbeda dari hambatan geografis pedesaan — pasien kota mungkin secara fisik dekat dengan fasilitas kesehatan namun tidak memiliki waktu luang untuk memanfaatkannya.</w:t>
      </w:r>
    </w:p>
    <w:p>
      <w:r>
        <w:rPr>
          <w:b/>
        </w:rPr>
        <w:t xml:space="preserve">🕌 LANDASAN HADITS — </w:t>
      </w:r>
      <w:r>
        <w:t xml:space="preserve">"Sebaik-baik manusia adalah yang paling bermanfaat bagi manusia lain." (HR. Ahmad dan Ath-Thabrani, dinilai hasan oleh sebagian ulama hadits). </w:t>
      </w:r>
      <w:r>
        <w:rPr>
          <w:i/>
        </w:rPr>
        <w:t>Menjadi dasar semangat kedokteran perkotaan yang berpihak pada kelompok kurang terlayani di tengah padatnya penduduk kota.</w:t>
      </w:r>
    </w:p>
    <w:p>
      <w:pPr>
        <w:pStyle w:val="Heading2"/>
      </w:pPr>
      <w:r>
        <w:t>Model Layanan Fleksibel</w:t>
      </w:r>
    </w:p>
    <w:p>
      <w:r>
        <w:t>Model layanan yang fleksibel — jam praktik di luar jam kerja, konsultasi telemedicine untuk tindak lanjut sederhana — dapat meningkatkan akses efektif bagi populasi pekerja perkotaan.</w:t>
      </w:r>
    </w:p>
    <w:p>
      <w:pPr>
        <w:pStyle w:val="Heading1"/>
      </w:pPr>
      <w:r>
        <w:t>BAB VII — Kolaborasi Lintas-Sektor dalam Kesehatan Kota</w:t>
      </w:r>
    </w:p>
    <w:p>
      <w:pPr>
        <w:pStyle w:val="Heading2"/>
      </w:pPr>
      <w:r>
        <w:t>Peran Advokasi Dokter Layanan Primer</w:t>
      </w:r>
    </w:p>
    <w:p>
      <w:r>
        <w:t>Determinan kesehatan perkotaan berada di luar kendali langsung dokter layanan primer, namun advokasi berbasis bukti klinis kepada pemangku kebijakan kota merupakan bagian dari tanggung jawab profesional yang lebih luas.</w:t>
      </w:r>
    </w:p>
    <w:p>
      <w:pPr>
        <w:pStyle w:val="Heading1"/>
      </w:pPr>
      <w:r>
        <w:t>BAB VIII — Penjenjangan Capaian Pembelajaran Tahun I–IV</w:t>
      </w:r>
    </w:p>
    <w:p>
      <w:r>
        <w:t>Penjenjangan berikut merupakan usulan kerangka penahapan berbasis pola umum pendidikan spesialis empat tahun, disesuaikan dengan komponen kompetensi ke-14 pada Tabel 10 Kepkonsil No. HK.01.02/KKI/1318/2026.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Tahun</w:t>
            </w:r>
          </w:p>
        </w:tc>
        <w:tc>
          <w:tcPr>
            <w:tcW w:type="dxa" w:w="2160"/>
          </w:tcPr>
          <w:p>
            <w:r>
              <w:t>Fokus Belajar Utama</w:t>
            </w:r>
          </w:p>
        </w:tc>
        <w:tc>
          <w:tcPr>
            <w:tcW w:type="dxa" w:w="2160"/>
          </w:tcPr>
          <w:p>
            <w:r>
              <w:t>Tingkat Kemandirian</w:t>
            </w:r>
          </w:p>
        </w:tc>
        <w:tc>
          <w:tcPr>
            <w:tcW w:type="dxa" w:w="2160"/>
          </w:tcPr>
          <w:p>
            <w:r>
              <w:t>Capaian yang Diharapkan</w:t>
            </w:r>
          </w:p>
        </w:tc>
      </w:tr>
      <w:tr>
        <w:tc>
          <w:tcPr>
            <w:tcW w:type="dxa" w:w="2160"/>
          </w:tcPr>
          <w:p>
            <w:r>
              <w:t>Tahun I</w:t>
            </w:r>
          </w:p>
        </w:tc>
        <w:tc>
          <w:tcPr>
            <w:tcW w:type="dxa" w:w="2160"/>
          </w:tcPr>
          <w:p>
            <w:r>
              <w:t>Mengenali determinan kesehatan spesifik perkotaan dan mempraktikkan edukasi mitigasi polusi di bawah observasi.</w:t>
            </w:r>
          </w:p>
        </w:tc>
        <w:tc>
          <w:tcPr>
            <w:tcW w:type="dxa" w:w="2160"/>
          </w:tcPr>
          <w:p>
            <w:r>
              <w:t>Observasi dan dibimbing langsung pada setiap kasus.</w:t>
            </w:r>
          </w:p>
        </w:tc>
        <w:tc>
          <w:tcPr>
            <w:tcW w:type="dxa" w:w="2160"/>
          </w:tcPr>
          <w:p>
            <w:r>
              <w:t>Mampu mengidentifikasi faktor risiko lingkungan perkotaan pasien dengan supervisi penuh.</w:t>
            </w:r>
          </w:p>
        </w:tc>
      </w:tr>
      <w:tr>
        <w:tc>
          <w:tcPr>
            <w:tcW w:type="dxa" w:w="2160"/>
          </w:tcPr>
          <w:p>
            <w:r>
              <w:t>Tahun II</w:t>
            </w:r>
          </w:p>
        </w:tc>
        <w:tc>
          <w:tcPr>
            <w:tcW w:type="dxa" w:w="2160"/>
          </w:tcPr>
          <w:p>
            <w:r>
              <w:t>Menerapkan penyesuaian tata laksana untuk kondisi hidup padat/informal dengan bimbingan tidak langsung.</w:t>
            </w:r>
          </w:p>
        </w:tc>
        <w:tc>
          <w:tcPr>
            <w:tcW w:type="dxa" w:w="2160"/>
          </w:tcPr>
          <w:p>
            <w:r>
              <w:t>Dibimbing tidak langsung; konsultasi bila ragu.</w:t>
            </w:r>
          </w:p>
        </w:tc>
        <w:tc>
          <w:tcPr>
            <w:tcW w:type="dxa" w:w="2160"/>
          </w:tcPr>
          <w:p>
            <w:r>
              <w:t>Mampu menyesuaikan rencana pengobatan dengan realitas kondisi hidup pasien perkotaan.</w:t>
            </w:r>
          </w:p>
        </w:tc>
      </w:tr>
      <w:tr>
        <w:tc>
          <w:tcPr>
            <w:tcW w:type="dxa" w:w="2160"/>
          </w:tcPr>
          <w:p>
            <w:r>
              <w:t>Tahun III</w:t>
            </w:r>
          </w:p>
        </w:tc>
        <w:tc>
          <w:tcPr>
            <w:tcW w:type="dxa" w:w="2160"/>
          </w:tcPr>
          <w:p>
            <w:r>
              <w:t>Mengintegrasikan skrining isolasi sosial dan model layanan fleksibel pada populasi pekerja perkotaan.</w:t>
            </w:r>
          </w:p>
        </w:tc>
        <w:tc>
          <w:tcPr>
            <w:tcW w:type="dxa" w:w="2160"/>
          </w:tcPr>
          <w:p>
            <w:r>
              <w:t>Mandiri dengan supervisi berkala/insidental.</w:t>
            </w:r>
          </w:p>
        </w:tc>
        <w:tc>
          <w:tcPr>
            <w:tcW w:type="dxa" w:w="2160"/>
          </w:tcPr>
          <w:p>
            <w:r>
              <w:t>Mampu merancang model layanan yang mengatasi hambatan akses spesifik perkotaan.</w:t>
            </w:r>
          </w:p>
        </w:tc>
      </w:tr>
      <w:tr>
        <w:tc>
          <w:tcPr>
            <w:tcW w:type="dxa" w:w="2160"/>
          </w:tcPr>
          <w:p>
            <w:r>
              <w:t>Tahun IV</w:t>
            </w:r>
          </w:p>
        </w:tc>
        <w:tc>
          <w:tcPr>
            <w:tcW w:type="dxa" w:w="2160"/>
          </w:tcPr>
          <w:p>
            <w:r>
              <w:t>Membimbing peserta didik junior dan berkolaborasi lintas-sektor dalam kesehatan kota.</w:t>
            </w:r>
          </w:p>
        </w:tc>
        <w:tc>
          <w:tcPr>
            <w:tcW w:type="dxa" w:w="2160"/>
          </w:tcPr>
          <w:p>
            <w:r>
              <w:t>Mandiri penuh, berperan sebagai pendamping sejawat junior.</w:t>
            </w:r>
          </w:p>
        </w:tc>
        <w:tc>
          <w:tcPr>
            <w:tcW w:type="dxa" w:w="2160"/>
          </w:tcPr>
          <w:p>
            <w:r>
              <w:t>Mampu terlibat dalam advokasi kesehatan kota berbasis bukti klinis.</w:t>
            </w:r>
          </w:p>
        </w:tc>
      </w:tr>
    </w:tbl>
    <w:p>
      <w:pPr>
        <w:pStyle w:val="Heading1"/>
      </w:pPr>
      <w:r>
        <w:t>BAB IX — Evaluasi Diri dan Pertanyaan Reflektif</w:t>
      </w:r>
    </w:p>
    <w:p>
      <w:r>
        <w:t>• Apakah saya mempertimbangkan paparan polusi udara sebagai faktor risiko pada pasien dengan gejala respiratorik?</w:t>
      </w:r>
    </w:p>
    <w:p>
      <w:r>
        <w:t>• Apakah saya menyesuaikan ekspektasi kepatuhan pengobatan dengan kondisi hidup pasien permukiman padat?</w:t>
      </w:r>
    </w:p>
    <w:p>
      <w:r>
        <w:t>• Apakah saya menskrining isolasi sosial pada pasien perkotaan, terutama lansia dan pekerja migran?</w:t>
      </w:r>
    </w:p>
    <w:p>
      <w:r>
        <w:t>• Apakah saya menawarkan model layanan fleksibel untuk pasien dengan keterbatasan waktu?</w:t>
      </w:r>
    </w:p>
    <w:p>
      <w:r>
        <w:t>• Apakah saya terlibat dalam kolaborasi lintas-sektor kesehatan kota di wilayah praktik saya?</w:t>
      </w:r>
    </w:p>
    <w:p>
      <w:pPr>
        <w:pStyle w:val="Heading1"/>
      </w:pPr>
      <w:r>
        <w:t>BAB X — Penutup</w:t>
      </w:r>
    </w:p>
    <w:p>
      <w:r>
        <w:t>Kedokteran perkotaan dan pedesaan (B21) sama-sama menuntut adaptasi konteks — buku ini melengkapi B8 dengan lensa spesifik tantangan kesehatan yang unik pada kepadatan dan kompleksitas kehidupan kota.</w:t>
      </w:r>
    </w:p>
    <w:p>
      <w:r>
        <w:t>Buku ini disusun merujuk pada standar nasional (Tabel 10 Kepkonsil No. HK.01.02/KKI/1318/2026, komponen kompetensi ke-14) dan standar internasional dari World Health Organization — Urban Health Fact Sheet (https://www.who.int/news-room/fact-sheets/detail/urban-health).</w:t>
      </w:r>
    </w:p>
    <w:p>
      <w:r>
        <w:t>Glosarium</w:t>
      </w:r>
    </w:p>
    <w:p>
      <w:r>
        <w:t>Kesenjangan intra-kota</w:t>
      </w:r>
    </w:p>
    <w:p>
      <w:r>
        <w:t>Kesenjangan kesehatan antar-kelompok penduduk dalam satu kota yang sama, sering lebih tajam dibanding kesenjangan kota-desa.</w:t>
      </w:r>
    </w:p>
    <w:p>
      <w:r>
        <w:t>Built environment</w:t>
      </w:r>
    </w:p>
    <w:p>
      <w:r>
        <w:t>Lingkungan fisik terbangun yang memengaruhi perilaku kesehatan penduduk.</w:t>
      </w:r>
    </w:p>
    <w:p>
      <w:r>
        <w:t>Daftar Pustaka</w:t>
      </w:r>
    </w:p>
    <w:p>
      <w:r>
        <w:t>1. World Health Organization. Urban Health. Fact sheet. https://www.who.int/news-room/fact-sheets/detail/urban-health</w:t>
      </w:r>
    </w:p>
    <w:p>
      <w:pPr>
        <w:pStyle w:val="Heading1"/>
      </w:pPr>
      <w:r>
        <w:t>INTEGRASI — NILAI DI BALIK PRAKTIK KLINIS</w:t>
      </w:r>
    </w:p>
    <w:p>
      <w:r>
        <w:t>Kedokteran perkotaan yang berkeadilan adalah wujud kepedulian terhadap kesenjangan akses kesehatan — memastikan warga kota yang paling rentan tidak tertinggal.</w:t>
      </w:r>
    </w:p>
    <w:p>
      <w:r>
        <w:rPr>
          <w:i/>
        </w:rPr>
        <w:t>Dalil Al-Qur'an dan Hadits dalam dokumen ini disajikan sebagai penguat nilai, bukan sebagai fatwa hukum; rujuk ulama/ahli untuk persoalan hukum fikih spesifik. Naskah ini merupakan draf awal dan memerlukan tinjauan ulama serta tenaga kesehatan sebelum digunakan sebagai rujukan resmi.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