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Perpustakaan Digital Layanan Primer Islami</w:t>
      </w:r>
    </w:p>
    <w:p>
      <w:r>
        <w:t>Jl. Kerinci Raya No. 9, Malang 65138</w:t>
      </w:r>
    </w:p>
    <w:p>
      <w:r>
        <w:t>Buku Tematik B23 dari Klaster Digital — Ekosistem Buku Pendidikan Dokter Keluarga Layanan Primer Berbasis Al-Qur'an dan Hadits</w:t>
      </w:r>
    </w:p>
    <w:p>
      <w:r>
        <w:t>B23 — Kedokteran untuk Masyarakat Rentan dan Termarjinalkan — Perspektif Al-Qur'an dan Hadits</w:t>
      </w:r>
    </w:p>
    <w:p>
      <w:r>
        <w:t>Disusun oleh</w:t>
      </w:r>
    </w:p>
    <w:p>
      <w:r>
        <w:t>Dr.dr. H. Budi Siswanto, Sp.OG., Subsp.Obginsos., SH., S.Kom.</w:t>
      </w:r>
    </w:p>
    <w:p>
      <w:r>
        <w:t>2026</w:t>
      </w:r>
    </w:p>
    <w:p>
      <w:pPr>
        <w:pStyle w:val="Heading1"/>
      </w:pPr>
      <w:r>
        <w:t>BAB I — Kerentanan sebagai Akumulasi Hambatan Berlapis</w:t>
      </w:r>
    </w:p>
    <w:p>
      <w:pPr>
        <w:pStyle w:val="Heading2"/>
      </w:pPr>
      <w:r>
        <w:t>Determinan Sosial dan Ketidakadilan Kesehatan</w:t>
      </w:r>
    </w:p>
    <w:p>
      <w:r>
        <w:t>WHO menegaskan kesenjangan kesehatan antar kelompok sosial sebagian besar bersifat tidak adil dan dapat dicegah, berakar pada determinan sosial — bukan semata perbedaan biologis.</w:t>
      </w:r>
    </w:p>
    <w:p>
      <w:pPr>
        <w:pStyle w:val="Heading2"/>
      </w:pPr>
      <w:r>
        <w:t>Kerentanan yang Bertumpuk</w:t>
      </w:r>
    </w:p>
    <w:p>
      <w:r>
        <w:t>Kerentanan jarang berdiri sendiri; seorang pasien dapat mengalami kerentanan berlapis, misalnya lansia miskin dengan disabilitas dan tanpa dukungan keluarga. Pendekatan berpusat kesetaraan mensyaratkan dokter secara aktif mengidentifikasi hambatan berlapis ini.</w:t>
      </w:r>
    </w:p>
    <w:p>
      <w:pPr>
        <w:pStyle w:val="Heading1"/>
      </w:pPr>
      <w:r>
        <w:t>BAB II — Layanan bagi Populasi Tunawisma</w:t>
      </w:r>
    </w:p>
    <w:p>
      <w:pPr>
        <w:pStyle w:val="Heading2"/>
      </w:pPr>
      <w:r>
        <w:t>Hambatan Unik Populasi Tanpa Tempat Tinggal Tetap</w:t>
      </w:r>
    </w:p>
    <w:p>
      <w:r>
        <w:rPr>
          <w:b/>
        </w:rPr>
        <w:t xml:space="preserve">📖 LANDASAN AL-QUR'AN — </w:t>
      </w:r>
      <w:r>
        <w:t xml:space="preserve">"Dan mengapa kamu tidak mau berperang di jalan Allah dan (membela) orang-orang yang lemah, baik laki-laki, perempuan, maupun anak-anak." (QS. An-Nisa' (4): 75, Terjemahan Kemenag RI). </w:t>
      </w:r>
      <w:r>
        <w:rPr>
          <w:i/>
        </w:rPr>
        <w:t>Menjadi dasar keberpihakan aktif kedokteran keluarga terhadap kelompok rentan yang sering luput dari akses layanan kesehatan yang layak.</w:t>
      </w:r>
    </w:p>
    <w:p>
      <w:r>
        <w:t>Populasi tunawisma menghadapi hambatan unik: ketiadaan alamat tetap untuk tindak lanjut, keterbatasan penyimpanan obat, dan prioritas kebutuhan dasar yang sering mengalahkan prioritas kesehatan preventif.</w:t>
      </w:r>
    </w:p>
    <w:p>
      <w:pPr>
        <w:pStyle w:val="Heading2"/>
      </w:pPr>
      <w:r>
        <w:t>Menyesuaikan Regimen Pengobatan</w:t>
      </w:r>
    </w:p>
    <w:p>
      <w:r>
        <w:t>Pendekatan yang realistis menyesuaikan rencana pengobatan dengan keterbatasan ini — misalnya memilih regimen obat dosis tunggal harian dibanding regimen kompleks yang sulit dipertahankan tanpa tempat tinggal stabil.</w:t>
      </w:r>
    </w:p>
    <w:p>
      <w:pPr>
        <w:pStyle w:val="Heading1"/>
      </w:pPr>
      <w:r>
        <w:t>BAB III — Layanan bagi Pekerja Migran dan Kelompok Tanpa Dokumen</w:t>
      </w:r>
    </w:p>
    <w:p>
      <w:pPr>
        <w:pStyle w:val="Heading2"/>
      </w:pPr>
      <w:r>
        <w:t>Kekhawatiran Konsekuensi Administratif</w:t>
      </w:r>
    </w:p>
    <w:p>
      <w:r>
        <w:t>Pekerja migran, termasuk yang berstatus dokumentasi tidak lengkap, sering menghindari layanan kesehatan formal karena kekhawatiran konsekuensi hukum atau administratif, menyebabkan penundaan pencarian pertolongan.</w:t>
      </w:r>
    </w:p>
    <w:p>
      <w:pPr>
        <w:pStyle w:val="Heading2"/>
      </w:pPr>
      <w:r>
        <w:t>Akses Layanan Dasar sebagai Hak</w:t>
      </w:r>
    </w:p>
    <w:p>
      <w:r>
        <w:t>Dokter layanan primer perlu memahami kerangka etis bahwa akses layanan kesehatan dasar merupakan hak yang tidak bergantung pada status dokumentasi, dan menciptakan lingkungan konsultasi yang tidak menghakimi maupun mengancam.</w:t>
      </w:r>
    </w:p>
    <w:p>
      <w:pPr>
        <w:pStyle w:val="Heading1"/>
      </w:pPr>
      <w:r>
        <w:t>BAB IV — Layanan bagi Penyandang Disabilitas</w:t>
      </w:r>
    </w:p>
    <w:p>
      <w:pPr>
        <w:pStyle w:val="Heading2"/>
      </w:pPr>
      <w:r>
        <w:t>Hambatan Fisik, Komunikasi, dan Sikap</w:t>
      </w:r>
    </w:p>
    <w:p>
      <w:r>
        <w:t>Penyandang disabilitas menghadapi hambatan akses fisik, komunikasi, dan sikap — termasuk asumsi kapasitas pengambilan keputusan yang keliru — dalam mengakses layanan kesehatan.</w:t>
      </w:r>
    </w:p>
    <w:p>
      <w:pPr>
        <w:pStyle w:val="Heading2"/>
      </w:pPr>
      <w:r>
        <w:t>Prinsip Pelibatan Langsung</w:t>
      </w:r>
    </w:p>
    <w:p>
      <w:r>
        <w:t>Prinsip 'nothing about us without us' — melibatkan penyandang disabilitas dalam keputusan tentang perawatan mereka sendiri, bukan berkomunikasi eksklusif dengan pendamping/keluarga — merupakan standar layanan yang menghormati otonomi pasien disabilitas.</w:t>
      </w:r>
    </w:p>
    <w:p>
      <w:pPr>
        <w:pStyle w:val="Heading1"/>
      </w:pPr>
      <w:r>
        <w:t>BAB V — Layanan bagi Kelompok Minoritas Gender dan Seksual</w:t>
      </w:r>
    </w:p>
    <w:p>
      <w:pPr>
        <w:pStyle w:val="Heading2"/>
      </w:pPr>
      <w:r>
        <w:t>Pengalaman Diskriminasi dalam Layanan Kesehatan</w:t>
      </w:r>
    </w:p>
    <w:p>
      <w:r>
        <w:t>Kelompok minoritas gender dan seksual sering menghadapi pengalaman diskriminasi atau penghakiman dalam layanan kesehatan yang menyebabkan penundaan atau penghindaran pencarian pertolongan medis.</w:t>
      </w:r>
    </w:p>
    <w:p>
      <w:pPr>
        <w:pStyle w:val="Heading2"/>
      </w:pPr>
      <w:r>
        <w:t>Menciptakan Lingkungan yang Inklusif</w:t>
      </w:r>
    </w:p>
    <w:p>
      <w:r>
        <w:t>Lingkungan konsultasi yang secara eksplisit tidak menghakimi, penggunaan bahasa yang menghormati identitas pasien, dan kompetensi klinis dasar tentang kebutuhan kesehatan spesifik kelompok ini merupakan bagian dari layanan primer yang inklusif.</w:t>
      </w:r>
    </w:p>
    <w:p>
      <w:pPr>
        <w:pStyle w:val="Heading1"/>
      </w:pPr>
      <w:r>
        <w:t>BAB VI — Lansia Tanpa Dukungan Keluarga</w:t>
      </w:r>
    </w:p>
    <w:p>
      <w:r>
        <w:rPr>
          <w:b/>
        </w:rPr>
        <w:t xml:space="preserve">🕌 LANDASAN HADITS — </w:t>
      </w:r>
      <w:r>
        <w:t xml:space="preserve">"Carilah aku (pertolongan dan keberkahan) pada golongan kalian yang lemah, karena sesungguhnya kalian diberi rezeki dan ditolong disebabkan orang-orang yang lemah di antara kalian." (HR. Abu Dawud dan Tirmidzi, dinilai hasan). </w:t>
      </w:r>
      <w:r>
        <w:rPr>
          <w:i/>
        </w:rPr>
        <w:t>Menjadi landasan nilai utama bagi bab ini: melayani kelompok rentan bukan beban tambahan, melainkan sumber keberkahan bagi layanan kesehatan itu sendiri.</w:t>
      </w:r>
    </w:p>
    <w:p>
      <w:pPr>
        <w:pStyle w:val="Heading2"/>
      </w:pPr>
      <w:r>
        <w:t>Risiko Sistem Dukungan yang Rapuh</w:t>
      </w:r>
    </w:p>
    <w:p>
      <w:r>
        <w:t>Lansia yang tinggal sendiri tanpa dukungan keluarga dekat menghadapi risiko lebih tinggi keterlambatan pencarian pertolongan, kepatuhan pengobatan buruk, dan isolasi sosial yang memperburuk kondisi kesehatan mental dan fisik.</w:t>
      </w:r>
    </w:p>
    <w:p>
      <w:pPr>
        <w:pStyle w:val="Heading1"/>
      </w:pPr>
      <w:r>
        <w:t>BAB VII — Membangun Layanan Primer yang Berpusat pada Kesetaraan</w:t>
      </w:r>
    </w:p>
    <w:p>
      <w:pPr>
        <w:pStyle w:val="Heading2"/>
      </w:pPr>
      <w:r>
        <w:t>Penyesuaian Sistematis, Bukan Hanya Niat Baik</w:t>
      </w:r>
    </w:p>
    <w:p>
      <w:r>
        <w:t>Layanan berpusat kesetaraan memerlukan penyesuaian sistematis — jam praktik fleksibel, prosedur pendaftaran yang tidak mensyaratkan dokumentasi berlebihan, dan pelatihan staf tentang sikap tidak menghakimi terhadap seluruh kelompok rentan.</w:t>
      </w:r>
    </w:p>
    <w:p>
      <w:pPr>
        <w:pStyle w:val="Heading1"/>
      </w:pPr>
      <w:r>
        <w:t>BAB VIII — Penjenjangan Capaian Pembelajaran Tahun I–IV</w:t>
      </w:r>
    </w:p>
    <w:p>
      <w:r>
        <w:t>Penjenjangan berikut merupakan usulan kerangka penahapan berbasis pola umum pendidikan spesialis empat tahun, disesuaikan dengan komponen kompetensi ke-18 pada Tabel 10 Kepkonsil No. HK.01.02/KKI/1318/2026.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Tahun</w:t>
            </w:r>
          </w:p>
        </w:tc>
        <w:tc>
          <w:tcPr>
            <w:tcW w:type="dxa" w:w="2160"/>
          </w:tcPr>
          <w:p>
            <w:r>
              <w:t>Fokus Belajar Utama</w:t>
            </w:r>
          </w:p>
        </w:tc>
        <w:tc>
          <w:tcPr>
            <w:tcW w:type="dxa" w:w="2160"/>
          </w:tcPr>
          <w:p>
            <w:r>
              <w:t>Tingkat Kemandirian</w:t>
            </w:r>
          </w:p>
        </w:tc>
        <w:tc>
          <w:tcPr>
            <w:tcW w:type="dxa" w:w="2160"/>
          </w:tcPr>
          <w:p>
            <w:r>
              <w:t>Capaian yang Diharapkan</w:t>
            </w:r>
          </w:p>
        </w:tc>
      </w:tr>
      <w:tr>
        <w:tc>
          <w:tcPr>
            <w:tcW w:type="dxa" w:w="2160"/>
          </w:tcPr>
          <w:p>
            <w:r>
              <w:t>Tahun I</w:t>
            </w:r>
          </w:p>
        </w:tc>
        <w:tc>
          <w:tcPr>
            <w:tcW w:type="dxa" w:w="2160"/>
          </w:tcPr>
          <w:p>
            <w:r>
              <w:t>Mengenali konsep determinan sosial kesehatan dan kerentanan berlapis di bawah observasi.</w:t>
            </w:r>
          </w:p>
        </w:tc>
        <w:tc>
          <w:tcPr>
            <w:tcW w:type="dxa" w:w="2160"/>
          </w:tcPr>
          <w:p>
            <w:r>
              <w:t>Praktik selalu di bawah pengawasan langsung pembimbing klinis.</w:t>
            </w:r>
          </w:p>
        </w:tc>
        <w:tc>
          <w:tcPr>
            <w:tcW w:type="dxa" w:w="2160"/>
          </w:tcPr>
          <w:p>
            <w:r>
              <w:t>Mampu mengidentifikasi hambatan akses spesifik kelompok rentan dengan supervisi penuh.</w:t>
            </w:r>
          </w:p>
        </w:tc>
      </w:tr>
      <w:tr>
        <w:tc>
          <w:tcPr>
            <w:tcW w:type="dxa" w:w="2160"/>
          </w:tcPr>
          <w:p>
            <w:r>
              <w:t>Tahun II</w:t>
            </w:r>
          </w:p>
        </w:tc>
        <w:tc>
          <w:tcPr>
            <w:tcW w:type="dxa" w:w="2160"/>
          </w:tcPr>
          <w:p>
            <w:r>
              <w:t>Menerapkan penyesuaian rencana perawatan untuk populasi tunawisma, migran, dan disabilitas dengan bimbingan tidak langsung.</w:t>
            </w:r>
          </w:p>
        </w:tc>
        <w:tc>
          <w:tcPr>
            <w:tcW w:type="dxa" w:w="2160"/>
          </w:tcPr>
          <w:p>
            <w:r>
              <w:t>Supervisi tidak langsung; pembimbing dapat dihubungi sewaktu-waktu.</w:t>
            </w:r>
          </w:p>
        </w:tc>
        <w:tc>
          <w:tcPr>
            <w:tcW w:type="dxa" w:w="2160"/>
          </w:tcPr>
          <w:p>
            <w:r>
              <w:t>Mampu menyusun rencana perawatan yang realistis sesuai keterbatasan sumber daya pasien rentan.</w:t>
            </w:r>
          </w:p>
        </w:tc>
      </w:tr>
      <w:tr>
        <w:tc>
          <w:tcPr>
            <w:tcW w:type="dxa" w:w="2160"/>
          </w:tcPr>
          <w:p>
            <w:r>
              <w:t>Tahun III</w:t>
            </w:r>
          </w:p>
        </w:tc>
        <w:tc>
          <w:tcPr>
            <w:tcW w:type="dxa" w:w="2160"/>
          </w:tcPr>
          <w:p>
            <w:r>
              <w:t>Mengintegrasikan layanan inklusif bagi kelompok minoritas gender-seksual dan lansia tanpa dukungan secara mandiri.</w:t>
            </w:r>
          </w:p>
        </w:tc>
        <w:tc>
          <w:tcPr>
            <w:tcW w:type="dxa" w:w="2160"/>
          </w:tcPr>
          <w:p>
            <w:r>
              <w:t>Mandiri untuk kasus rutin; supervisi insidental untuk kasus kompleks.</w:t>
            </w:r>
          </w:p>
        </w:tc>
        <w:tc>
          <w:tcPr>
            <w:tcW w:type="dxa" w:w="2160"/>
          </w:tcPr>
          <w:p>
            <w:r>
              <w:t>Mampu menciptakan lingkungan konsultasi yang inklusif dan tidak menghakimi bagi seluruh kelompok rentan.</w:t>
            </w:r>
          </w:p>
        </w:tc>
      </w:tr>
      <w:tr>
        <w:tc>
          <w:tcPr>
            <w:tcW w:type="dxa" w:w="2160"/>
          </w:tcPr>
          <w:p>
            <w:r>
              <w:t>Tahun IV</w:t>
            </w:r>
          </w:p>
        </w:tc>
        <w:tc>
          <w:tcPr>
            <w:tcW w:type="dxa" w:w="2160"/>
          </w:tcPr>
          <w:p>
            <w:r>
              <w:t>Membimbing peserta didik junior dan berkontribusi merancang layanan primer berpusat kesetaraan di fasilitas.</w:t>
            </w:r>
          </w:p>
        </w:tc>
        <w:tc>
          <w:tcPr>
            <w:tcW w:type="dxa" w:w="2160"/>
          </w:tcPr>
          <w:p>
            <w:r>
              <w:t>Otonomi penuh, termasuk tanggung jawab mengarahkan peserta didik baru.</w:t>
            </w:r>
          </w:p>
        </w:tc>
        <w:tc>
          <w:tcPr>
            <w:tcW w:type="dxa" w:w="2160"/>
          </w:tcPr>
          <w:p>
            <w:r>
              <w:t>Mampu mengevaluasi dan memperbaiki hambatan sistemik akses layanan di tingkat fasilitas.</w:t>
            </w:r>
          </w:p>
        </w:tc>
      </w:tr>
    </w:tbl>
    <w:p>
      <w:pPr>
        <w:pStyle w:val="Heading1"/>
      </w:pPr>
      <w:r>
        <w:t>BAB IX — Evaluasi Diri dan Pertanyaan Reflektif</w:t>
      </w:r>
    </w:p>
    <w:p>
      <w:r>
        <w:t>• Apakah saya secara aktif mengidentifikasi hambatan berlapis yang dihadapi pasien rentan, bukan berasumsi?</w:t>
      </w:r>
    </w:p>
    <w:p>
      <w:r>
        <w:t>• Apakah saya menyesuaikan rencana pengobatan dengan realitas sumber daya pasien tunawisma/miskin?</w:t>
      </w:r>
    </w:p>
    <w:p>
      <w:r>
        <w:t>• Apakah saya menciptakan lingkungan konsultasi yang aman bagi pekerja migran tanpa dokumen?</w:t>
      </w:r>
    </w:p>
    <w:p>
      <w:r>
        <w:t>• Apakah saya melibatkan penyandang disabilitas langsung dalam keputusan perawatan mereka sendiri?</w:t>
      </w:r>
    </w:p>
    <w:p>
      <w:r>
        <w:t>• Apakah saya bersikap tidak menghakimi terhadap pasien dari kelompok minoritas gender-seksual?</w:t>
      </w:r>
    </w:p>
    <w:p>
      <w:pPr>
        <w:pStyle w:val="Heading1"/>
      </w:pPr>
      <w:r>
        <w:t>BAB X — Penutup</w:t>
      </w:r>
    </w:p>
    <w:p>
      <w:r>
        <w:t>Kedokteran untuk masyarakat rentan menutup rangkaian buku tematik dengan menegaskan prinsip inti kedokteran keluarga: layanan yang adil dan menghormati martabat setiap pasien.</w:t>
      </w:r>
    </w:p>
    <w:p>
      <w:r>
        <w:t>Buku ini disusun merujuk pada standar nasional (Tabel 10 Kepkonsil No. HK.01.02/KKI/1318/2026, komponen kompetensi ke-18) dan standar internasional dari WHO — Social Determinants of Health / Health Equity (https://www.who.int/teams/social-determinants-of-health/equity-and-health/world-report-on-social-determinants-of-health-equity).</w:t>
      </w:r>
    </w:p>
    <w:p>
      <w:r>
        <w:t>Glosarium</w:t>
      </w:r>
    </w:p>
    <w:p>
      <w:r>
        <w:t>Equity-centered care</w:t>
      </w:r>
    </w:p>
    <w:p>
      <w:r>
        <w:t>Pendekatan layanan yang secara aktif mengidentifikasi dan mengatasi hambatan berlapis akibat determinan sosial kesehatan.</w:t>
      </w:r>
    </w:p>
    <w:p>
      <w:r>
        <w:t>Kerentanan berlapis</w:t>
      </w:r>
    </w:p>
    <w:p>
      <w:r>
        <w:t>Akumulasi lebih dari satu faktor kerentanan sosial-ekonomi yang dialami satu individu secara bersamaan.</w:t>
      </w:r>
    </w:p>
    <w:p>
      <w:r>
        <w:t>Daftar Pustaka</w:t>
      </w:r>
    </w:p>
    <w:p>
      <w:r>
        <w:t>1. World Health Organization. World Report on Social Determinants of Health Equity. https://www.who.int/teams/social-determinants-of-health/equity-and-health/world-report-on-social-determinants-of-health-equity</w:t>
      </w:r>
    </w:p>
    <w:p>
      <w:pPr>
        <w:pStyle w:val="Heading1"/>
      </w:pPr>
      <w:r>
        <w:t>INTEGRASI — NILAI DI BALIK PRAKTIK KLINIS</w:t>
      </w:r>
    </w:p>
    <w:p>
      <w:r>
        <w:t>Layanan kesehatan bagi kelompok rentan adalah wujud nyata keberpihakan pada kaum lemah — bukan pelayanan kelas dua, melainkan prioritas yang membawa keberkahan tersendiri.</w:t>
      </w:r>
    </w:p>
    <w:p>
      <w:r>
        <w:rPr>
          <w:i/>
        </w:rPr>
        <w:t>Dalil Al-Qur'an dan Hadits dalam dokumen ini disajikan sebagai penguat nilai, bukan sebagai fatwa hukum; rujuk ulama/ahli untuk persoalan hukum fikih spesifik. Naskah ini merupakan draf awal dan memerlukan tinjauan ulama serta tenaga kesehatan sebelum digunakan sebagai rujukan resmi.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