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Buku Tematik B24 dari Klaster Digital — Ekosistem Buku Pendidikan Dokter Keluarga Layanan Primer Berbasis Al-Qur'an dan Hadits</w:t>
      </w:r>
    </w:p>
    <w:p>
      <w:r>
        <w:t>B24 — Kedokteran Perjalanan di Layanan Primer — Perspektif Al-Qur'an dan Hadits</w:t>
      </w:r>
    </w:p>
    <w:p>
      <w:r>
        <w:t>Disusun oleh</w:t>
      </w:r>
    </w:p>
    <w:p>
      <w:r>
        <w:t>Dr.dr. H. Budi Siswanto, Sp.OG., Subsp.Obginsos., SH., S.Kom.</w:t>
      </w:r>
    </w:p>
    <w:p>
      <w:r>
        <w:t>2026</w:t>
      </w:r>
    </w:p>
    <w:p>
      <w:pPr>
        <w:pStyle w:val="Heading1"/>
      </w:pPr>
      <w:r>
        <w:t>BAB I — Mengapa Kedokteran Perjalanan Relevan di Layanan Primer Indonesia</w:t>
      </w:r>
    </w:p>
    <w:p>
      <w:pPr>
        <w:pStyle w:val="Heading2"/>
      </w:pPr>
      <w:r>
        <w:t>Cakupan Kedokteran Perjalanan</w:t>
      </w:r>
    </w:p>
    <w:p>
      <w:r>
        <w:t>ISTM menegaskan kedokteran perjalanan mencakup penilaian risiko kesehatan individual sebelum bepergian, vaksinasi dan profilaksis yang sesuai, edukasi pencegahan, serta tata laksana kondisi yang muncul selama atau setelah perjalanan.</w:t>
      </w:r>
    </w:p>
    <w:p>
      <w:pPr>
        <w:pStyle w:val="Heading2"/>
      </w:pPr>
      <w:r>
        <w:t>Konteks Khusus Indonesia</w:t>
      </w:r>
    </w:p>
    <w:p>
      <w:r>
        <w:t>Konteks Indonesia unik: keberagaman risiko penyakit tropis antar-wilayah domestik, volume jemaah haji-umrah terbesar dunia, dan migrasi pekerja ke berbagai negara tujuan dengan profil risiko kesehatan berbeda.</w:t>
      </w:r>
    </w:p>
    <w:p>
      <w:pPr>
        <w:pStyle w:val="Heading1"/>
      </w:pPr>
      <w:r>
        <w:t>BAB II — Konsultasi Pra-Perjalanan: Kerangka Dasar</w:t>
      </w:r>
    </w:p>
    <w:p>
      <w:pPr>
        <w:pStyle w:val="Heading2"/>
      </w:pPr>
      <w:r>
        <w:t>Waktu Ideal Konsultasi</w:t>
      </w:r>
    </w:p>
    <w:p>
      <w:r>
        <w:rPr>
          <w:b/>
        </w:rPr>
        <w:t xml:space="preserve">📖 LANDASAN AL-QUR'AN — </w:t>
      </w:r>
      <w:r>
        <w:t xml:space="preserve">"Dan apabila kamu bepergian di bumi, tidak mengapa kamu meng-qashar (meringkas) shalat, jika kamu takut diserang orang-orang kafir." (QS. An-Nisa' (4): 101, Terjemahan Kemenag RI). </w:t>
      </w:r>
      <w:r>
        <w:rPr>
          <w:i/>
        </w:rPr>
        <w:t>Menunjukkan prinsip keringanan (rukhsah) yang diberikan bagi orang yang bepergian, relevan sebagai dasar mengapa persiapan kesehatan khusus diperlukan saat safar/perjalanan jauh.</w:t>
      </w:r>
    </w:p>
    <w:p>
      <w:r>
        <w:t>Konsultasi pra-perjalanan idealnya dilakukan 4-6 minggu sebelum keberangkatan untuk memberi waktu vaksinasi bekerja optimal, meski konsultasi mendadak tetap bermanfaat meski dengan pilihan intervensi lebih terbatas.</w:t>
      </w:r>
    </w:p>
    <w:p>
      <w:pPr>
        <w:pStyle w:val="Heading2"/>
      </w:pPr>
      <w:r>
        <w:t>Komponen Penilaian Risiko Individual</w:t>
      </w:r>
    </w:p>
    <w:p>
      <w:r>
        <w:t>Penilaian risiko individual mempertimbangkan destinasi, durasi, jenis aktivitas, kondisi kesehatan dasar pelancong, dan riwayat vaksinasi sebelumnya.</w:t>
      </w:r>
    </w:p>
    <w:p>
      <w:pPr>
        <w:pStyle w:val="Heading1"/>
      </w:pPr>
      <w:r>
        <w:t>BAB III — Vaksinasi dan Profilaksis Perjalanan</w:t>
      </w:r>
    </w:p>
    <w:p>
      <w:pPr>
        <w:pStyle w:val="Heading2"/>
      </w:pPr>
      <w:r>
        <w:t>Tiga Kategori Vaksinasi Perjalanan</w:t>
      </w:r>
    </w:p>
    <w:p>
      <w:r>
        <w:t>Vaksinasi perjalanan terbagi dalam tiga kategori: rutin (yang seharusnya sudah dimiliki terlepas dari perjalanan), yang direkomendasikan berdasar destinasi, dan yang diwajibkan secara regulasi (seperti yellow fever untuk destinasi/asal negara endemis tertentu).</w:t>
      </w:r>
    </w:p>
    <w:p>
      <w:pPr>
        <w:pStyle w:val="Heading2"/>
      </w:pPr>
      <w:r>
        <w:t>Profilaksis Malaria</w:t>
      </w:r>
    </w:p>
    <w:p>
      <w:r>
        <w:t>Profilaksis malaria untuk destinasi endemis memerlukan pemilihan regimen sesuai pola resistensi lokal destinasi tujuan, ditimbang terhadap durasi perjalanan dan kondisi kesehatan pelancong.</w:t>
      </w:r>
    </w:p>
    <w:p>
      <w:pPr>
        <w:pStyle w:val="Heading1"/>
      </w:pPr>
      <w:r>
        <w:t>BAB IV — Kesehatan Haji dan Umrah: Konteks Khusus Indonesia</w:t>
      </w:r>
    </w:p>
    <w:p>
      <w:pPr>
        <w:pStyle w:val="Heading2"/>
      </w:pPr>
      <w:r>
        <w:t>Relevansi Nasional Kesehatan Haji</w:t>
      </w:r>
    </w:p>
    <w:p>
      <w:r>
        <w:t>Volume jemaah haji-umrah Indonesia yang sangat besar menjadikan kesehatan haji sebagai subtopik kedokteran perjalanan dengan relevansi nasional signifikan — mencakup vaksinasi wajib (meningitis meningokokus), kesiapan kondisi kronis pada jemaah lansia, dan risiko penularan penyakit respiratorik pada kerumunan massal.</w:t>
      </w:r>
    </w:p>
    <w:p>
      <w:pPr>
        <w:pStyle w:val="Heading2"/>
      </w:pPr>
      <w:r>
        <w:t>Optimalisasi Kondisi Kronis Pra-Keberangkatan</w:t>
      </w:r>
    </w:p>
    <w:p>
      <w:r>
        <w:t>Konseling pra-keberangkatan haji perlu mencakup optimalisasi kondisi kronis mengingat intensitas fisik ibadah haji dan keterbatasan akses layanan kesehatan optimal selama di tanah suci.</w:t>
      </w:r>
    </w:p>
    <w:p>
      <w:pPr>
        <w:pStyle w:val="Heading1"/>
      </w:pPr>
      <w:r>
        <w:t>BAB V — Pencegahan Penyakit Terkait Perjalanan Non-Vaksin</w:t>
      </w:r>
    </w:p>
    <w:p>
      <w:pPr>
        <w:pStyle w:val="Heading2"/>
      </w:pPr>
      <w:r>
        <w:t>Diare Pelancong</w:t>
      </w:r>
    </w:p>
    <w:p>
      <w:r>
        <w:t>Diare pelancong merupakan kondisi tersering dialami pelancong, memerlukan edukasi pencegahan dan kesiapan tata laksana mandiri sebelum keberangkatan.</w:t>
      </w:r>
    </w:p>
    <w:p>
      <w:pPr>
        <w:pStyle w:val="Heading2"/>
      </w:pPr>
      <w:r>
        <w:t>Pencegahan Gigitan Vektor</w:t>
      </w:r>
    </w:p>
    <w:p>
      <w:r>
        <w:t>Pencegahan gigitan vektor melalui edukasi praktis penggunaan repelan, kelambu, dan pakaian pelindung tetap menjadi komponen konseling yang tidak boleh terlewat, terutama untuk destinasi risiko tinggi.</w:t>
      </w:r>
    </w:p>
    <w:p>
      <w:pPr>
        <w:pStyle w:val="Heading1"/>
      </w:pPr>
      <w:r>
        <w:t>BAB VI — Tata Laksana Kondisi Pasca-Perjalanan</w:t>
      </w:r>
    </w:p>
    <w:p>
      <w:r>
        <w:rPr>
          <w:b/>
        </w:rPr>
        <w:t xml:space="preserve">🕌 LANDASAN HADITS — </w:t>
      </w:r>
      <w:r>
        <w:t xml:space="preserve">"Bepergian (safar) adalah sepotong dari azab. Ia menghalangi seseorang dari makan, minum, dan tidurnya yang biasa. Maka jika keperluannya telah selesai, hendaklah ia segera kembali kepada keluarganya." (HR. Bukhari dan Muslim). </w:t>
      </w:r>
      <w:r>
        <w:rPr>
          <w:i/>
        </w:rPr>
        <w:t>Menjadi dasar mengapa perjalanan jauh membutuhkan persiapan kesehatan khusus — gangguan pola makan, minum, dan istirahat selama safar adalah hal yang wajar diantisipasi, bukan diabaikan.</w:t>
      </w:r>
    </w:p>
    <w:p>
      <w:pPr>
        <w:pStyle w:val="Heading2"/>
      </w:pPr>
      <w:r>
        <w:t>Kewaspadaan Demam Pasca-Perjalanan</w:t>
      </w:r>
    </w:p>
    <w:p>
      <w:r>
        <w:t>Demam pasca-perjalanan dari daerah endemis memerlukan kewaspadaan tinggi terhadap kemungkinan penyakit tropis impor — anamnesis riwayat perjalanan yang teliti menjadi kunci diagnosis yang sering terlewat bila tidak ditanyakan secara spesifik.</w:t>
      </w:r>
    </w:p>
    <w:p>
      <w:r>
        <w:t>Prinsip 'setiap demam pasca-perjalanan dari daerah endemis malaria dianggap malaria hingga terbukti sebaliknya' tetap relevan sebagai pendekatan kewaspadaan tinggi yang mencegah keterlambatan diagnosis kondisi yang berpotensi fatal.</w:t>
      </w:r>
    </w:p>
    <w:p>
      <w:pPr>
        <w:pStyle w:val="Heading1"/>
      </w:pPr>
      <w:r>
        <w:t>BAB VII — Kesehatan Pekerja Migran Internasional</w:t>
      </w:r>
    </w:p>
    <w:p>
      <w:pPr>
        <w:pStyle w:val="Heading2"/>
      </w:pPr>
      <w:r>
        <w:t>Profil Risiko Berbeda dari Wisatawan</w:t>
      </w:r>
    </w:p>
    <w:p>
      <w:r>
        <w:t>Pekerja migran Indonesia ke berbagai negara tujuan menghadapi profil risiko kesehatan berbeda dari wisatawan biasa — durasi tinggal panjang, kondisi kerja yang mungkin berisiko tinggi, dan keterbatasan akses layanan kesehatan bagi sebagian pekerja informal.</w:t>
      </w:r>
    </w:p>
    <w:p>
      <w:pPr>
        <w:pStyle w:val="Heading1"/>
      </w:pPr>
      <w:r>
        <w:t>BAB VIII — Penjenjangan Capaian Pembelajaran Tahun I–IV</w:t>
      </w:r>
    </w:p>
    <w:p>
      <w:r>
        <w:t>Penjenjangan berikut merupakan usulan kerangka penahapan berbasis pola umum pendidikan spesialis empat tahun, disesuaikan dengan komponen kompetensi ke-20 pada Tabel 10 Kepkonsil No. HK.01.02/KKI/1318/2026.</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Tahun</w:t>
            </w:r>
          </w:p>
        </w:tc>
        <w:tc>
          <w:tcPr>
            <w:tcW w:type="dxa" w:w="2160"/>
          </w:tcPr>
          <w:p>
            <w:r>
              <w:t>Fokus Belajar Utama</w:t>
            </w:r>
          </w:p>
        </w:tc>
        <w:tc>
          <w:tcPr>
            <w:tcW w:type="dxa" w:w="2160"/>
          </w:tcPr>
          <w:p>
            <w:r>
              <w:t>Tingkat Kemandirian</w:t>
            </w:r>
          </w:p>
        </w:tc>
        <w:tc>
          <w:tcPr>
            <w:tcW w:type="dxa" w:w="2160"/>
          </w:tcPr>
          <w:p>
            <w:r>
              <w:t>Capaian yang Diharapkan</w:t>
            </w:r>
          </w:p>
        </w:tc>
      </w:tr>
      <w:tr>
        <w:tc>
          <w:tcPr>
            <w:tcW w:type="dxa" w:w="2160"/>
          </w:tcPr>
          <w:p>
            <w:r>
              <w:t>Tahun I</w:t>
            </w:r>
          </w:p>
        </w:tc>
        <w:tc>
          <w:tcPr>
            <w:tcW w:type="dxa" w:w="2160"/>
          </w:tcPr>
          <w:p>
            <w:r>
              <w:t>Mengenali kerangka dasar konsultasi pra-perjalanan dan kategori vaksinasi di bawah observasi.</w:t>
            </w:r>
          </w:p>
        </w:tc>
        <w:tc>
          <w:tcPr>
            <w:tcW w:type="dxa" w:w="2160"/>
          </w:tcPr>
          <w:p>
            <w:r>
              <w:t>Observasi dan dibimbing langsung pada setiap kasus.</w:t>
            </w:r>
          </w:p>
        </w:tc>
        <w:tc>
          <w:tcPr>
            <w:tcW w:type="dxa" w:w="2160"/>
          </w:tcPr>
          <w:p>
            <w:r>
              <w:t>Mampu melakukan penilaian risiko perjalanan dasar dengan supervisi penuh.</w:t>
            </w:r>
          </w:p>
        </w:tc>
      </w:tr>
      <w:tr>
        <w:tc>
          <w:tcPr>
            <w:tcW w:type="dxa" w:w="2160"/>
          </w:tcPr>
          <w:p>
            <w:r>
              <w:t>Tahun II</w:t>
            </w:r>
          </w:p>
        </w:tc>
        <w:tc>
          <w:tcPr>
            <w:tcW w:type="dxa" w:w="2160"/>
          </w:tcPr>
          <w:p>
            <w:r>
              <w:t>Menerapkan konseling vaksinasi-profilaksis destinasi spesifik dan kesehatan haji-umrah dengan bimbingan tidak langsung.</w:t>
            </w:r>
          </w:p>
        </w:tc>
        <w:tc>
          <w:tcPr>
            <w:tcW w:type="dxa" w:w="2160"/>
          </w:tcPr>
          <w:p>
            <w:r>
              <w:t>Dibimbing tidak langsung; konsultasi bila ragu.</w:t>
            </w:r>
          </w:p>
        </w:tc>
        <w:tc>
          <w:tcPr>
            <w:tcW w:type="dxa" w:w="2160"/>
          </w:tcPr>
          <w:p>
            <w:r>
              <w:t>Mampu menyusun rencana vaksinasi dan profilaksis sesuai destinasi dan kondisi kesehatan pelancong.</w:t>
            </w:r>
          </w:p>
        </w:tc>
      </w:tr>
      <w:tr>
        <w:tc>
          <w:tcPr>
            <w:tcW w:type="dxa" w:w="2160"/>
          </w:tcPr>
          <w:p>
            <w:r>
              <w:t>Tahun III</w:t>
            </w:r>
          </w:p>
        </w:tc>
        <w:tc>
          <w:tcPr>
            <w:tcW w:type="dxa" w:w="2160"/>
          </w:tcPr>
          <w:p>
            <w:r>
              <w:t>Mengintegrasikan tata laksana kondisi pasca-perjalanan kompleks secara mandiri.</w:t>
            </w:r>
          </w:p>
        </w:tc>
        <w:tc>
          <w:tcPr>
            <w:tcW w:type="dxa" w:w="2160"/>
          </w:tcPr>
          <w:p>
            <w:r>
              <w:t>Mandiri dengan supervisi berkala/insidental.</w:t>
            </w:r>
          </w:p>
        </w:tc>
        <w:tc>
          <w:tcPr>
            <w:tcW w:type="dxa" w:w="2160"/>
          </w:tcPr>
          <w:p>
            <w:r>
              <w:t>Mampu mendiagnosis dan menata laksana kondisi pasca-perjalanan dengan kewaspadaan tinggi yang tepat.</w:t>
            </w:r>
          </w:p>
        </w:tc>
      </w:tr>
      <w:tr>
        <w:tc>
          <w:tcPr>
            <w:tcW w:type="dxa" w:w="2160"/>
          </w:tcPr>
          <w:p>
            <w:r>
              <w:t>Tahun IV</w:t>
            </w:r>
          </w:p>
        </w:tc>
        <w:tc>
          <w:tcPr>
            <w:tcW w:type="dxa" w:w="2160"/>
          </w:tcPr>
          <w:p>
            <w:r>
              <w:t>Membimbing peserta didik junior dalam kedokteran perjalanan; menjadi rujukan internal wahana.</w:t>
            </w:r>
          </w:p>
        </w:tc>
        <w:tc>
          <w:tcPr>
            <w:tcW w:type="dxa" w:w="2160"/>
          </w:tcPr>
          <w:p>
            <w:r>
              <w:t>Mandiri penuh, berperan sebagai pendamping sejawat junior.</w:t>
            </w:r>
          </w:p>
        </w:tc>
        <w:tc>
          <w:tcPr>
            <w:tcW w:type="dxa" w:w="2160"/>
          </w:tcPr>
          <w:p>
            <w:r>
              <w:t>Mampu mengaudit mutu konseling pra-perjalanan dan kesehatan haji oleh peserta didik lain.</w:t>
            </w:r>
          </w:p>
        </w:tc>
      </w:tr>
    </w:tbl>
    <w:p>
      <w:pPr>
        <w:pStyle w:val="Heading1"/>
      </w:pPr>
      <w:r>
        <w:t>BAB IX — Evaluasi Diri dan Pertanyaan Reflektif</w:t>
      </w:r>
    </w:p>
    <w:p>
      <w:r>
        <w:t>• Apakah saya melakukan konsultasi pra-perjalanan idealnya 4-6 minggu sebelum keberangkatan pasien?</w:t>
      </w:r>
    </w:p>
    <w:p>
      <w:r>
        <w:t>• Apakah saya dapat membedakan kategori vaksinasi rutin, direkomendasikan, dan wajib regulasi?</w:t>
      </w:r>
    </w:p>
    <w:p>
      <w:r>
        <w:t>• Apakah saya memiliki protokol konseling kesehatan haji-umrah untuk jemaah dengan kondisi kronis?</w:t>
      </w:r>
    </w:p>
    <w:p>
      <w:r>
        <w:t>• Apakah saya secara rutin menanyakan riwayat perjalanan pada pasien dengan demam tanpa sebab jelas?</w:t>
      </w:r>
    </w:p>
    <w:p>
      <w:r>
        <w:t>• Apakah saya memberikan edukasi pencegahan diare pelancong dan gigitan vektor secara sistematis?</w:t>
      </w:r>
    </w:p>
    <w:p>
      <w:pPr>
        <w:pStyle w:val="Heading1"/>
      </w:pPr>
      <w:r>
        <w:t>BAB X — Penutup</w:t>
      </w:r>
    </w:p>
    <w:p>
      <w:r>
        <w:t>Kedokteran perjalanan melengkapi B3 dengan lensa pencegahan pra-perjalanan dan kewaspadaan pasca-perjalanan yang relevan bagi mobilitas tinggi penduduk Indonesia, baik domestik maupun internasional.</w:t>
      </w:r>
    </w:p>
    <w:p>
      <w:r>
        <w:t>Buku ini disusun merujuk pada standar nasional (Tabel 10 Kepkonsil No. HK.01.02/KKI/1318/2026, komponen kompetensi ke-20) dan standar internasional dari International Society of Travel Medicine (ISTM) (https://www.istm.org/).</w:t>
      </w:r>
    </w:p>
    <w:p>
      <w:r>
        <w:t>Glosarium</w:t>
      </w:r>
    </w:p>
    <w:p>
      <w:r>
        <w:t>Diare pelancong</w:t>
      </w:r>
    </w:p>
    <w:p>
      <w:r>
        <w:t>Diare akut yang dialami pelancong, umumnya akibat kontaminasi makanan/minuman di destinasi.</w:t>
      </w:r>
    </w:p>
    <w:p>
      <w:r>
        <w:t>Penyakit tropis impor</w:t>
      </w:r>
    </w:p>
    <w:p>
      <w:r>
        <w:t>Penyakit tropis yang terdiagnosis pada pelancong setelah kembali dari daerah endemis, tidak lazim di wilayah asal.</w:t>
      </w:r>
    </w:p>
    <w:p>
      <w:r>
        <w:t>Daftar Pustaka</w:t>
      </w:r>
    </w:p>
    <w:p>
      <w:r>
        <w:t>1. International Society of Travel Medicine (ISTM). https://www.istm.org/</w:t>
      </w:r>
    </w:p>
    <w:p>
      <w:pPr>
        <w:pStyle w:val="Heading1"/>
      </w:pPr>
      <w:r>
        <w:t>INTEGRASI — NILAI DI BALIK PRAKTIK KLINIS</w:t>
      </w:r>
    </w:p>
    <w:p>
      <w:r>
        <w:t>Kedokteran perjalanan pada dasarnya membantu pasien menjalankan adab safar dengan lebih aman — mengantisipasi gangguan kesehatan yang memang lazim menyertai perjalanan jauh.</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