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Pedoman Program P6 dari Klaster Digital — Ekosistem Buku Pendidikan Dokter Keluarga Layanan Primer Berbasis Al-Qur'an dan Hadits</w:t>
      </w:r>
    </w:p>
    <w:p>
      <w:r>
        <w:t>P6 — Kumpulan Formulir Pendidikan Klinis (Logbook, Portofolio, DOPS/Mini-CEX) — Perspektif Al-Qur'an dan Hadits</w:t>
      </w:r>
    </w:p>
    <w:p>
      <w:r>
        <w:t>Disusun oleh</w:t>
      </w:r>
    </w:p>
    <w:p>
      <w:r>
        <w:t>Dr.dr. H. Budi Siswanto, Sp.OG., Subsp.Obginsos., SH., S.Kom.</w:t>
      </w:r>
    </w:p>
    <w:p>
      <w:r>
        <w:t>2026</w:t>
      </w:r>
    </w:p>
    <w:p>
      <w:pPr>
        <w:pStyle w:val="Heading1"/>
      </w:pPr>
      <w:r>
        <w:t>BAB I — TUJUAN KUMPULAN FORMULIR</w:t>
      </w:r>
    </w:p>
    <w:p>
      <w:r>
        <w:t>Dokumen ini menyusun kerangka baku seluruh formulir yang dirujuk pada Dokumen 1 hingga Dokumen 5 Klaster Layanan Primer, agar pendokumentasian pendidikan klinis konsisten di seluruh wahana pendidikan yang bekerja sama dengan institusi penyelenggara PPDS KKLP.</w:t>
      </w:r>
    </w:p>
    <w:p>
      <w:pPr>
        <w:pStyle w:val="Heading1"/>
      </w:pPr>
      <w:r>
        <w:t>BAB II — LOGBOOK HARIAN PESERTA DIDIK</w:t>
      </w:r>
    </w:p>
    <w:p>
      <w:r>
        <w:t>Logbook harian mencatat aktivitas klinis peserta didik setiap hari, termasuk jumlah dan jenis kasus yang ditangani, tingkat supervisi yang diterapkan, serta setiap peristiwa eskalasi sebagaimana diatur dalam Dokumen 2.</w:t>
      </w:r>
    </w:p>
    <w:p>
      <w:r>
        <w:rPr>
          <w:b/>
        </w:rPr>
        <w:t xml:space="preserve">📖 LANDASAN AL-QUR'AN — </w:t>
      </w:r>
      <w:r>
        <w:t xml:space="preserve">"Wahai orang-orang yang beriman! Apabila kamu melakukan utang piutang untuk waktu yang ditentukan, hendaklah kamu menuliskannya." (QS. Al-Baqarah (2): 282, Terjemahan Kemenag RI). </w:t>
      </w:r>
      <w:r>
        <w:rPr>
          <w:i/>
        </w:rPr>
        <w:t>Meski turun dalam konteks muamalah, prinsip mencatat dengan teliti (kitabah) ini relevan sebagai dasar nilai pentingnya ketelitian logbook, portofolio, dan formulir penilaian klinis.</w:t>
      </w:r>
    </w:p>
    <w:tbl>
      <w:tblPr>
        <w:tblStyle w:val="LightGrid-Accent1"/>
        <w:tblW w:type="auto" w:w="0"/>
        <w:tblLook w:firstColumn="1" w:firstRow="1" w:lastColumn="0" w:lastRow="0" w:noHBand="0" w:noVBand="1" w:val="04A0"/>
      </w:tblPr>
      <w:tblGrid>
        <w:gridCol w:w="4320"/>
        <w:gridCol w:w="4320"/>
      </w:tblGrid>
      <w:tr>
        <w:tc>
          <w:tcPr>
            <w:tcW w:type="dxa" w:w="4320"/>
          </w:tcPr>
          <w:p>
            <w:r>
              <w:t>Kolom Logbook</w:t>
            </w:r>
          </w:p>
        </w:tc>
        <w:tc>
          <w:tcPr>
            <w:tcW w:type="dxa" w:w="4320"/>
          </w:tcPr>
          <w:p>
            <w:r>
              <w:t>Keterangan</w:t>
            </w:r>
          </w:p>
        </w:tc>
      </w:tr>
      <w:tr>
        <w:tc>
          <w:tcPr>
            <w:tcW w:type="dxa" w:w="4320"/>
          </w:tcPr>
          <w:p>
            <w:r>
              <w:t>Tanggal &amp; wahana</w:t>
            </w:r>
          </w:p>
        </w:tc>
        <w:tc>
          <w:tcPr>
            <w:tcW w:type="dxa" w:w="4320"/>
          </w:tcPr>
          <w:p>
            <w:r>
              <w:t>Identitas waktu dan lokasi layanan</w:t>
            </w:r>
          </w:p>
        </w:tc>
      </w:tr>
      <w:tr>
        <w:tc>
          <w:tcPr>
            <w:tcW w:type="dxa" w:w="4320"/>
          </w:tcPr>
          <w:p>
            <w:r>
              <w:t>Ringkasan kasus</w:t>
            </w:r>
          </w:p>
        </w:tc>
        <w:tc>
          <w:tcPr>
            <w:tcW w:type="dxa" w:w="4320"/>
          </w:tcPr>
          <w:p>
            <w:r>
              <w:t>Diagnosis/masalah kesehatan utama, tanpa identitas pasien</w:t>
            </w:r>
          </w:p>
        </w:tc>
      </w:tr>
      <w:tr>
        <w:tc>
          <w:tcPr>
            <w:tcW w:type="dxa" w:w="4320"/>
          </w:tcPr>
          <w:p>
            <w:r>
              <w:t>Area Kompetensi terkait</w:t>
            </w:r>
          </w:p>
        </w:tc>
        <w:tc>
          <w:tcPr>
            <w:tcW w:type="dxa" w:w="4320"/>
          </w:tcPr>
          <w:p>
            <w:r>
              <w:t>Rujukan ke Area Kompetensi a-g (Buku Utama, Bab III)</w:t>
            </w:r>
          </w:p>
        </w:tc>
      </w:tr>
      <w:tr>
        <w:tc>
          <w:tcPr>
            <w:tcW w:type="dxa" w:w="4320"/>
          </w:tcPr>
          <w:p>
            <w:r>
              <w:t>Tingkat kewenangan diterapkan</w:t>
            </w:r>
          </w:p>
        </w:tc>
        <w:tc>
          <w:tcPr>
            <w:tcW w:type="dxa" w:w="4320"/>
          </w:tcPr>
          <w:p>
            <w:r>
              <w:t>Sesuai skala pada Dokumen 4</w:t>
            </w:r>
          </w:p>
        </w:tc>
      </w:tr>
      <w:tr>
        <w:tc>
          <w:tcPr>
            <w:tcW w:type="dxa" w:w="4320"/>
          </w:tcPr>
          <w:p>
            <w:r>
              <w:t>Supervisor</w:t>
            </w:r>
          </w:p>
        </w:tc>
        <w:tc>
          <w:tcPr>
            <w:tcW w:type="dxa" w:w="4320"/>
          </w:tcPr>
          <w:p>
            <w:r>
              <w:t>Nama DPK yang bertugas</w:t>
            </w:r>
          </w:p>
        </w:tc>
      </w:tr>
      <w:tr>
        <w:tc>
          <w:tcPr>
            <w:tcW w:type="dxa" w:w="4320"/>
          </w:tcPr>
          <w:p>
            <w:r>
              <w:t>Catatan eskalasi (bila ada)</w:t>
            </w:r>
          </w:p>
        </w:tc>
        <w:tc>
          <w:tcPr>
            <w:tcW w:type="dxa" w:w="4320"/>
          </w:tcPr>
          <w:p>
            <w:r>
              <w:t>Rujukan ke formulir eskalasi terkait</w:t>
            </w:r>
          </w:p>
        </w:tc>
      </w:tr>
    </w:tbl>
    <w:p>
      <w:pPr>
        <w:pStyle w:val="Heading1"/>
      </w:pPr>
      <w:r>
        <w:t>BAB III — PORTOFOLIO KOMPETENSI</w:t>
      </w:r>
    </w:p>
    <w:p>
      <w:r>
        <w:t>Portofolio kompetensi adalah kumpulan bukti pembelajaran dan pencapaian peserta didik sepanjang pendidikan, meliputi rangkuman logbook berkala, hasil penilaian DOPS dan Mini-CEX, refleksi pembelajaran peserta didik, dan umpan balik DPK — digunakan sebagai dasar evaluasi kenaikan tingkat kewenangan (Dokumen 4, Bab IV).</w:t>
      </w:r>
    </w:p>
    <w:p>
      <w:pPr>
        <w:pStyle w:val="Heading1"/>
      </w:pPr>
      <w:r>
        <w:t>BAB IV — FORMULIR DOPS (DIRECT OBSERVATION OF PROCEDURAL SKILLS)</w:t>
      </w:r>
    </w:p>
    <w:p>
      <w:r>
        <w:t>Formulir DOPS digunakan untuk menilai keterampilan prosedural peserta didik (Buku Tematik 9) melalui observasi langsung oleh DPK, mencakup penilaian persiapan, pelaksanaan teknis, komunikasi dengan pasien selama tindakan, dan penanganan pascatindakan.</w:t>
      </w:r>
    </w:p>
    <w:tbl>
      <w:tblPr>
        <w:tblStyle w:val="LightGrid-Accent1"/>
        <w:tblW w:type="auto" w:w="0"/>
        <w:tblLook w:firstColumn="1" w:firstRow="1" w:lastColumn="0" w:lastRow="0" w:noHBand="0" w:noVBand="1" w:val="04A0"/>
      </w:tblPr>
      <w:tblGrid>
        <w:gridCol w:w="4320"/>
        <w:gridCol w:w="4320"/>
      </w:tblGrid>
      <w:tr>
        <w:tc>
          <w:tcPr>
            <w:tcW w:type="dxa" w:w="4320"/>
          </w:tcPr>
          <w:p>
            <w:r>
              <w:t>Domain Penilaian</w:t>
            </w:r>
          </w:p>
        </w:tc>
        <w:tc>
          <w:tcPr>
            <w:tcW w:type="dxa" w:w="4320"/>
          </w:tcPr>
          <w:p>
            <w:r>
              <w:t>Skala 1-9</w:t>
            </w:r>
          </w:p>
        </w:tc>
      </w:tr>
      <w:tr>
        <w:tc>
          <w:tcPr>
            <w:tcW w:type="dxa" w:w="4320"/>
          </w:tcPr>
          <w:p>
            <w:r>
              <w:t>Pemahaman indikasi dan dasar teori tindakan</w:t>
            </w:r>
          </w:p>
        </w:tc>
        <w:tc>
          <w:tcPr>
            <w:tcW w:type="dxa" w:w="4320"/>
          </w:tcPr>
          <w:p>
            <w:r>
              <w:t>1-3 Di bawah harapan / 4-6 Sesuai harapan / 7-9 Melebihi harapan</w:t>
            </w:r>
          </w:p>
        </w:tc>
      </w:tr>
      <w:tr>
        <w:tc>
          <w:tcPr>
            <w:tcW w:type="dxa" w:w="4320"/>
          </w:tcPr>
          <w:p>
            <w:r>
              <w:t>Persetujuan tindakan (informed consent)</w:t>
            </w:r>
          </w:p>
        </w:tc>
        <w:tc>
          <w:tcPr>
            <w:tcW w:type="dxa" w:w="4320"/>
          </w:tcPr>
          <w:p>
            <w:r>
              <w:t>1-3 Di bawah harapan / 4-6 Sesuai harapan / 7-9 Melebihi harapan</w:t>
            </w:r>
          </w:p>
        </w:tc>
      </w:tr>
      <w:tr>
        <w:tc>
          <w:tcPr>
            <w:tcW w:type="dxa" w:w="4320"/>
          </w:tcPr>
          <w:p>
            <w:r>
              <w:t>Persiapan sebelum tindakan (alat, pasien, lingkungan)</w:t>
            </w:r>
          </w:p>
        </w:tc>
        <w:tc>
          <w:tcPr>
            <w:tcW w:type="dxa" w:w="4320"/>
          </w:tcPr>
          <w:p>
            <w:r>
              <w:t>1-3 Di bawah harapan / 4-6 Sesuai harapan / 7-9 Melebihi harapan</w:t>
            </w:r>
          </w:p>
        </w:tc>
      </w:tr>
      <w:tr>
        <w:tc>
          <w:tcPr>
            <w:tcW w:type="dxa" w:w="4320"/>
          </w:tcPr>
          <w:p>
            <w:r>
              <w:t>Teknik aseptik (bila relevan)</w:t>
            </w:r>
          </w:p>
        </w:tc>
        <w:tc>
          <w:tcPr>
            <w:tcW w:type="dxa" w:w="4320"/>
          </w:tcPr>
          <w:p>
            <w:r>
              <w:t>1-3 Di bawah harapan / 4-6 Sesuai harapan / 7-9 Melebihi harapan</w:t>
            </w:r>
          </w:p>
        </w:tc>
      </w:tr>
      <w:tr>
        <w:tc>
          <w:tcPr>
            <w:tcW w:type="dxa" w:w="4320"/>
          </w:tcPr>
          <w:p>
            <w:r>
              <w:t>Pelaksanaan teknis tindakan</w:t>
            </w:r>
          </w:p>
        </w:tc>
        <w:tc>
          <w:tcPr>
            <w:tcW w:type="dxa" w:w="4320"/>
          </w:tcPr>
          <w:p>
            <w:r>
              <w:t>1-3 Di bawah harapan / 4-6 Sesuai harapan / 7-9 Melebihi harapan</w:t>
            </w:r>
          </w:p>
        </w:tc>
      </w:tr>
      <w:tr>
        <w:tc>
          <w:tcPr>
            <w:tcW w:type="dxa" w:w="4320"/>
          </w:tcPr>
          <w:p>
            <w:r>
              <w:t>Kemampuan meminta bantuan pada situasi tepat</w:t>
            </w:r>
          </w:p>
        </w:tc>
        <w:tc>
          <w:tcPr>
            <w:tcW w:type="dxa" w:w="4320"/>
          </w:tcPr>
          <w:p>
            <w:r>
              <w:t>1-3 Di bawah harapan / 4-6 Sesuai harapan / 7-9 Melebihi harapan</w:t>
            </w:r>
          </w:p>
        </w:tc>
      </w:tr>
      <w:tr>
        <w:tc>
          <w:tcPr>
            <w:tcW w:type="dxa" w:w="4320"/>
          </w:tcPr>
          <w:p>
            <w:r>
              <w:t>Penanganan pasca-tindakan dan instruksi tindak lanjut</w:t>
            </w:r>
          </w:p>
        </w:tc>
        <w:tc>
          <w:tcPr>
            <w:tcW w:type="dxa" w:w="4320"/>
          </w:tcPr>
          <w:p>
            <w:r>
              <w:t>1-3 Di bawah harapan / 4-6 Sesuai harapan / 7-9 Melebihi harapan</w:t>
            </w:r>
          </w:p>
        </w:tc>
      </w:tr>
      <w:tr>
        <w:tc>
          <w:tcPr>
            <w:tcW w:type="dxa" w:w="4320"/>
          </w:tcPr>
          <w:p>
            <w:r>
              <w:t>Komunikasi dengan pasien selama tindakan</w:t>
            </w:r>
          </w:p>
        </w:tc>
        <w:tc>
          <w:tcPr>
            <w:tcW w:type="dxa" w:w="4320"/>
          </w:tcPr>
          <w:p>
            <w:r>
              <w:t>1-3 Di bawah harapan / 4-6 Sesuai harapan / 7-9 Melebihi harapan</w:t>
            </w:r>
          </w:p>
        </w:tc>
      </w:tr>
      <w:tr>
        <w:tc>
          <w:tcPr>
            <w:tcW w:type="dxa" w:w="4320"/>
          </w:tcPr>
          <w:p>
            <w:r>
              <w:t>Profesionalisme dan sikap selama tindakan</w:t>
            </w:r>
          </w:p>
        </w:tc>
        <w:tc>
          <w:tcPr>
            <w:tcW w:type="dxa" w:w="4320"/>
          </w:tcPr>
          <w:p>
            <w:r>
              <w:t>1-3 Di bawah harapan / 4-6 Sesuai harapan / 7-9 Melebihi harapan</w:t>
            </w:r>
          </w:p>
        </w:tc>
      </w:tr>
      <w:tr>
        <w:tc>
          <w:tcPr>
            <w:tcW w:type="dxa" w:w="4320"/>
          </w:tcPr>
          <w:p>
            <w:r>
              <w:t>Penilaian global keseluruhan</w:t>
            </w:r>
          </w:p>
        </w:tc>
        <w:tc>
          <w:tcPr>
            <w:tcW w:type="dxa" w:w="4320"/>
          </w:tcPr>
          <w:p>
            <w:r>
              <w:t>1-3 Di bawah harapan / 4-6 Sesuai harapan / 7-9 Melebihi harapan</w:t>
            </w:r>
          </w:p>
        </w:tc>
      </w:tr>
    </w:tbl>
    <w:p>
      <w:r>
        <w:t>Setiap domain dilengkapi ruang catatan naratif singkat dari DPK, serta ruang umpan balik lisan yang disampaikan langsung kepada peserta didik segera setelah observasi.</w:t>
      </w:r>
    </w:p>
    <w:p>
      <w:pPr>
        <w:pStyle w:val="Heading1"/>
      </w:pPr>
      <w:r>
        <w:t>BAB V — FORMULIR MINI-CEX (MINI CLINICAL EVALUATION EXERCISE)</w:t>
      </w:r>
    </w:p>
    <w:p>
      <w:r>
        <w:t>Formulir Mini-CEX digunakan untuk menilai kompetensi klinis peserta didik secara terfokus dalam satu interaksi klinis singkat, mencakup anamnesis, pemeriksaan fisik, profesionalisme, penilaian klinis, konseling, dan organisasi/efisiensi.</w:t>
      </w:r>
    </w:p>
    <w:tbl>
      <w:tblPr>
        <w:tblStyle w:val="LightGrid-Accent1"/>
        <w:tblW w:type="auto" w:w="0"/>
        <w:tblLook w:firstColumn="1" w:firstRow="1" w:lastColumn="0" w:lastRow="0" w:noHBand="0" w:noVBand="1" w:val="04A0"/>
      </w:tblPr>
      <w:tblGrid>
        <w:gridCol w:w="4320"/>
        <w:gridCol w:w="4320"/>
      </w:tblGrid>
      <w:tr>
        <w:tc>
          <w:tcPr>
            <w:tcW w:type="dxa" w:w="4320"/>
          </w:tcPr>
          <w:p>
            <w:r>
              <w:t>Domain Penilaian</w:t>
            </w:r>
          </w:p>
        </w:tc>
        <w:tc>
          <w:tcPr>
            <w:tcW w:type="dxa" w:w="4320"/>
          </w:tcPr>
          <w:p>
            <w:r>
              <w:t>Skala 1-9</w:t>
            </w:r>
          </w:p>
        </w:tc>
      </w:tr>
      <w:tr>
        <w:tc>
          <w:tcPr>
            <w:tcW w:type="dxa" w:w="4320"/>
          </w:tcPr>
          <w:p>
            <w:r>
              <w:t>Keterampilan anamnesis</w:t>
            </w:r>
          </w:p>
        </w:tc>
        <w:tc>
          <w:tcPr>
            <w:tcW w:type="dxa" w:w="4320"/>
          </w:tcPr>
          <w:p>
            <w:r>
              <w:t>1-3 Di bawah harapan / 4-6 Sesuai harapan / 7-9 Melebihi harapan</w:t>
            </w:r>
          </w:p>
        </w:tc>
      </w:tr>
      <w:tr>
        <w:tc>
          <w:tcPr>
            <w:tcW w:type="dxa" w:w="4320"/>
          </w:tcPr>
          <w:p>
            <w:r>
              <w:t>Keterampilan pemeriksaan fisik</w:t>
            </w:r>
          </w:p>
        </w:tc>
        <w:tc>
          <w:tcPr>
            <w:tcW w:type="dxa" w:w="4320"/>
          </w:tcPr>
          <w:p>
            <w:r>
              <w:t>1-3 Di bawah harapan / 4-6 Sesuai harapan / 7-9 Melebihi harapan</w:t>
            </w:r>
          </w:p>
        </w:tc>
      </w:tr>
      <w:tr>
        <w:tc>
          <w:tcPr>
            <w:tcW w:type="dxa" w:w="4320"/>
          </w:tcPr>
          <w:p>
            <w:r>
              <w:t>Profesionalisme dan hubungan dokter-pasien</w:t>
            </w:r>
          </w:p>
        </w:tc>
        <w:tc>
          <w:tcPr>
            <w:tcW w:type="dxa" w:w="4320"/>
          </w:tcPr>
          <w:p>
            <w:r>
              <w:t>1-3 Di bawah harapan / 4-6 Sesuai harapan / 7-9 Melebihi harapan</w:t>
            </w:r>
          </w:p>
        </w:tc>
      </w:tr>
      <w:tr>
        <w:tc>
          <w:tcPr>
            <w:tcW w:type="dxa" w:w="4320"/>
          </w:tcPr>
          <w:p>
            <w:r>
              <w:t>Penilaian klinis (clinical judgement)</w:t>
            </w:r>
          </w:p>
        </w:tc>
        <w:tc>
          <w:tcPr>
            <w:tcW w:type="dxa" w:w="4320"/>
          </w:tcPr>
          <w:p>
            <w:r>
              <w:t>1-3 Di bawah harapan / 4-6 Sesuai harapan / 7-9 Melebihi harapan</w:t>
            </w:r>
          </w:p>
        </w:tc>
      </w:tr>
      <w:tr>
        <w:tc>
          <w:tcPr>
            <w:tcW w:type="dxa" w:w="4320"/>
          </w:tcPr>
          <w:p>
            <w:r>
              <w:t>Keterampilan konseling dan komunikasi</w:t>
            </w:r>
          </w:p>
        </w:tc>
        <w:tc>
          <w:tcPr>
            <w:tcW w:type="dxa" w:w="4320"/>
          </w:tcPr>
          <w:p>
            <w:r>
              <w:t>1-3 Di bawah harapan / 4-6 Sesuai harapan / 7-9 Melebihi harapan</w:t>
            </w:r>
          </w:p>
        </w:tc>
      </w:tr>
      <w:tr>
        <w:tc>
          <w:tcPr>
            <w:tcW w:type="dxa" w:w="4320"/>
          </w:tcPr>
          <w:p>
            <w:r>
              <w:t>Organisasi dan efisiensi konsultasi</w:t>
            </w:r>
          </w:p>
        </w:tc>
        <w:tc>
          <w:tcPr>
            <w:tcW w:type="dxa" w:w="4320"/>
          </w:tcPr>
          <w:p>
            <w:r>
              <w:t>1-3 Di bawah harapan / 4-6 Sesuai harapan / 7-9 Melebihi harapan</w:t>
            </w:r>
          </w:p>
        </w:tc>
      </w:tr>
      <w:tr>
        <w:tc>
          <w:tcPr>
            <w:tcW w:type="dxa" w:w="4320"/>
          </w:tcPr>
          <w:p>
            <w:r>
              <w:t>Kompetensi klinis global</w:t>
            </w:r>
          </w:p>
        </w:tc>
        <w:tc>
          <w:tcPr>
            <w:tcW w:type="dxa" w:w="4320"/>
          </w:tcPr>
          <w:p>
            <w:r>
              <w:t>1-3 Di bawah harapan / 4-6 Sesuai harapan / 7-9 Melebihi harapan</w:t>
            </w:r>
          </w:p>
        </w:tc>
      </w:tr>
    </w:tbl>
    <w:p>
      <w:r>
        <w:t>Setiap sesi Mini-CEX idealnya berlangsung 15-20 menit observasi diikuti 5-10 menit umpan balik langsung, direkomendasikan pada kasus dengan tingkat kompleksitas bervariasi sepanjang tahun pendidikan.</w:t>
      </w:r>
    </w:p>
    <w:p>
      <w:r>
        <w:rPr>
          <w:b/>
        </w:rPr>
        <w:t xml:space="preserve">🕌 LANDASAN HADITS — </w:t>
      </w:r>
      <w:r>
        <w:t xml:space="preserve">"Ihsan adalah engkau menyembah Allah seakan-akan engkau melihat-Nya, dan jika engkau tidak mampu melihat-Nya, maka sesungguhnya Dia melihatmu." (HR. Muslim (Hadits Jibril)). </w:t>
      </w:r>
      <w:r>
        <w:rPr>
          <w:i/>
        </w:rPr>
        <w:t>Menjadi dasar mengapa pengisian formulir pendidikan klinis harus dilakukan dengan jujur dan teliti, bukan sekadar memenuhi syarat administratif.</w:t>
      </w:r>
    </w:p>
    <w:p>
      <w:pPr>
        <w:pStyle w:val="Heading1"/>
      </w:pPr>
      <w:r>
        <w:t>BAB VI — FORMULIR EVALUASI KENAIKAN TINGKAT KEWENANGAN</w:t>
      </w:r>
    </w:p>
    <w:p>
      <w:r>
        <w:t>Formulir ini merangkum seluruh bukti dari logbook, portofolio, DOPS, dan Mini-CEX sebagai dasar rekomendasi DPK dan keputusan unit fungsional pendidikan mengenai kenaikan tingkat kewenangan klinis peserta didik, sesuai mekanisme pada Dokumen 4, Bab IV.</w:t>
      </w:r>
    </w:p>
    <w:p>
      <w:pPr>
        <w:pStyle w:val="Heading1"/>
      </w:pPr>
      <w:r>
        <w:t>BAB VII — PENGARSIPAN DAN KERAHASIAAN FORMULIR</w:t>
      </w:r>
    </w:p>
    <w:p>
      <w:r>
        <w:t>Seluruh formulir yang memuat data terkait pasien wajib disusun tanpa identitas pasien yang dapat dikenali, sejalan dengan prinsip kerahasiaan pada Dokumen 3, Bab II. Formulir yang telah diisi diarsipkan oleh unit fungsional pendidikan sebagai bagian dari rekam jejak pendidikan peserta didik.</w:t>
      </w:r>
    </w:p>
    <w:p>
      <w:pPr>
        <w:pStyle w:val="Heading1"/>
      </w:pPr>
      <w:r>
        <w:t>BAB VIII — PENUTUP KLASTER LAYANAN PRIMER</w:t>
      </w:r>
    </w:p>
    <w:p>
      <w:r>
        <w:t>Dokumen ini menutup rangkaian enam dokumen kebijakan Klaster Layanan Primer, melengkapi kerangka pendidikan klinis dari pedoman inti (Dokumen 1) hingga instrumen operasional sehari-hari (Dokumen 6), sebagai pasangan kebijakan yang utuh bagi buku-buku akademik Klaster Digital (B1-B11).</w:t>
      </w:r>
    </w:p>
    <w:p>
      <w:pPr>
        <w:pStyle w:val="Heading2"/>
      </w:pPr>
      <w:r>
        <w:t>Glosarium</w:t>
      </w:r>
    </w:p>
    <w:p>
      <w:r>
        <w:t>Logbook — Catatan aktivitas klinis harian peserta didik.</w:t>
      </w:r>
    </w:p>
    <w:p>
      <w:r>
        <w:t>Portofolio Kompetensi — Kumpulan bukti pembelajaran dan pencapaian kompetensi peserta didik.</w:t>
      </w:r>
    </w:p>
    <w:p>
      <w:r>
        <w:t>DOPS — Direct Observation of Procedural Skills.</w:t>
      </w:r>
    </w:p>
    <w:p>
      <w:r>
        <w:t>Mini-CEX — Mini Clinical Evaluation Exercise.</w:t>
      </w:r>
    </w:p>
    <w:p>
      <w:pPr>
        <w:pStyle w:val="Heading2"/>
      </w:pPr>
      <w:r>
        <w:t>Daftar Pustaka</w:t>
      </w:r>
    </w:p>
    <w:p>
      <w:r>
        <w:t>Konsil Kedokteran Indonesia. Peraturan Konsil Kedokteran Indonesia Nomor 65 Tahun 2019.</w:t>
      </w:r>
    </w:p>
    <w:p>
      <w:r>
        <w:t>Dokumen 1-5, Klaster Layanan Primer, Ekosistem Buku SpKKLP.</w:t>
      </w:r>
    </w:p>
    <w:p>
      <w:pPr>
        <w:pStyle w:val="Heading1"/>
      </w:pPr>
      <w:r>
        <w:t>INTEGRASI — NILAI DI BALIK PRAKTIK KLINIS</w:t>
      </w:r>
    </w:p>
    <w:p>
      <w:r>
        <w:t>Ketelitian dalam mencatat dan mendokumentasikan proses pendidikan klinis adalah wujud itqan — sebuah nilai yang telah lama diajarkan jauh sebelum sistem portofolio digital dikenal.</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