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Perpustakaan Digital Layanan Primer Islami</w:t>
      </w:r>
    </w:p>
    <w:p>
      <w:r>
        <w:t>Jl. Kerinci Raya No. 9, Malang 65138</w:t>
      </w:r>
    </w:p>
    <w:p>
      <w:r>
        <w:t>Buku Orientasi dari Klaster Digital — Ekosistem Buku Pendidikan Dokter Keluarga Layanan Primer Berbasis Al-Qur'an dan Hadits</w:t>
      </w:r>
    </w:p>
    <w:p>
      <w:r>
        <w:t>U0 — Orientasi: Peta Kompetensi, Peran, dan Model Manajemen Mutu Terpadu Dokter Keluarga Layanan Primer Islami</w:t>
      </w:r>
    </w:p>
    <w:p>
      <w:r>
        <w:t>Disusun oleh</w:t>
      </w:r>
    </w:p>
    <w:p>
      <w:r>
        <w:t>Dr.dr. H. Budi Siswanto, Sp.OG., Subsp.Obginsos., SH., S.Kom.</w:t>
      </w:r>
    </w:p>
    <w:p>
      <w:r>
        <w:t>2026</w:t>
      </w:r>
    </w:p>
    <w:p>
      <w:pPr>
        <w:pStyle w:val="Heading1"/>
      </w:pPr>
      <w:r>
        <w:t>BAB I — MENGAPA LAYANAN PRIMER MEMBUTUHKAN LANDASAN NILAI, BUKAN HANYA STANDAR TEKNIS</w:t>
      </w:r>
    </w:p>
    <w:p>
      <w:r>
        <w:rPr>
          <w:i/>
        </w:rPr>
        <w:t>Seorang dokter keluarga menghabiskan lebih banyak waktu mendengarkan daripada meresepkan. Ia menyaksikan kelahiran, menemani sakaratul maut, menjaga rahasia keluarga selama bertahun-tahun. Pekerjaan seperti ini tidak cukup dituntun oleh kompetensi klinis semata — ia membutuhkan kerangka nilai yang menjawab pertanyaan 'untuk apa' di balik setiap 'bagaimana'.</w:t>
      </w:r>
    </w:p>
    <w:p>
      <w:r>
        <w:t>Standar Kompetensi Dokter Spesialis Kedokteran Keluarga Layanan Primer (SpKKLP) sesuai Kepkonsil No. HK.01.02/KKI/1318/2026 menetapkan dengan rinci apa yang harus bisa dilakukan seorang dokter keluarga — dari Area Kompetensi a hingga g. Seri dokumen ini mempertahankan seluruh standar teknis tersebut secara utuh, dan menambahkan satu lapisan: landasan nilai yang bersumber dari Al-Qur'an dan Hadits, disajikan sebagai penguat makna, bukan pengganti kaidah ilmiah kedokteran.</w:t>
      </w:r>
    </w:p>
    <w:p>
      <w:r>
        <w:rPr>
          <w:b/>
        </w:rPr>
        <w:t xml:space="preserve">📖 LANDASAN AL-QUR'AN — </w:t>
      </w:r>
      <w:r>
        <w:t xml:space="preserve">"Dan barangsiapa memelihara kehidupan seorang manusia, maka seakan-akan dia telah memelihara kehidupan semua manusia." (QS. Al-Ma'idah (5): 32, Terjemahan Kemenag RI). </w:t>
      </w:r>
      <w:r>
        <w:rPr>
          <w:i/>
        </w:rPr>
        <w:t>Ayat ini menjadi ruh dari seluruh profesi kedokteran: menjaga satu nyawa pasien setara nilainya dengan menjaga kemanusiaan secara keseluruhan.</w:t>
      </w:r>
    </w:p>
    <w:p>
      <w:r>
        <w:rPr>
          <w:b/>
        </w:rPr>
        <w:t xml:space="preserve">🕌 LANDASAN HADITS — </w:t>
      </w:r>
      <w:r>
        <w:t xml:space="preserve">"Sebaik-baik manusia adalah yang paling bermanfaat bagi manusia lain." (HR. Ahmad dan Ath-Thabrani, dinilai hasan oleh sebagian ulama hadits). </w:t>
      </w:r>
      <w:r>
        <w:rPr>
          <w:i/>
        </w:rPr>
        <w:t>Menjadi dasar orientasi pelayanan: mutu seorang dokter keluarga diukur dari kemanfaatannya bagi pasien dan masyarakat sekitarnya.</w:t>
      </w:r>
    </w:p>
    <w:p>
      <w:pPr>
        <w:pStyle w:val="Heading1"/>
      </w:pPr>
      <w:r>
        <w:t>BAB II — PETA KOMPETENSI: TUJUH AREA, SATU TUJUAN</w:t>
      </w:r>
    </w:p>
    <w:p>
      <w:r>
        <w:rPr>
          <w:i/>
        </w:rPr>
        <w:t>Tujuh Area Kompetensi SpKKLP bukan daftar terpisah — ia adalah satu kesatuan peran: dokter yang mengenal pasiennya sebagai manusia utuh, bukan sekadar kumpulan gejala.</w:t>
      </w:r>
    </w:p>
    <w:p>
      <w:r>
        <w:t>Area Kompetensi a (Profesionalitas), b (Mawas Diri dan Pengembangan Diri), c (Komunikasi Efektif), d (Pengelolaan Informasi), e (Landasan Ilmiah Kedokteran Keluarga), f (Keterampilan Klinis), dan g (Pengelolaan Masalah Kesehatan) dipetakan secara rinci di setiap Buku Tematik (B1–B24) dalam seri ini. Dokumen ini hanya memberi peta jalan: buku mana untuk kompetensi apa.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Area Kompetensi</w:t>
            </w:r>
          </w:p>
        </w:tc>
        <w:tc>
          <w:tcPr>
            <w:tcW w:type="dxa" w:w="2880"/>
          </w:tcPr>
          <w:p>
            <w:r>
              <w:t>Inti</w:t>
            </w:r>
          </w:p>
        </w:tc>
        <w:tc>
          <w:tcPr>
            <w:tcW w:type="dxa" w:w="2880"/>
          </w:tcPr>
          <w:p>
            <w:r>
              <w:t>Buku Rujukan Utama</w:t>
            </w:r>
          </w:p>
        </w:tc>
      </w:tr>
      <w:tr>
        <w:tc>
          <w:tcPr>
            <w:tcW w:type="dxa" w:w="2880"/>
          </w:tcPr>
          <w:p>
            <w:r>
              <w:t>a. Profesionalitas</w:t>
            </w:r>
          </w:p>
        </w:tc>
        <w:tc>
          <w:tcPr>
            <w:tcW w:type="dxa" w:w="2880"/>
          </w:tcPr>
          <w:p>
            <w:r>
              <w:t>Etika, integritas, akhlak profesi</w:t>
            </w:r>
          </w:p>
        </w:tc>
        <w:tc>
          <w:tcPr>
            <w:tcW w:type="dxa" w:w="2880"/>
          </w:tcPr>
          <w:p>
            <w:r>
              <w:t>P3, B1</w:t>
            </w:r>
          </w:p>
        </w:tc>
      </w:tr>
      <w:tr>
        <w:tc>
          <w:tcPr>
            <w:tcW w:type="dxa" w:w="2880"/>
          </w:tcPr>
          <w:p>
            <w:r>
              <w:t>b. Mawas &amp; Pengembangan Diri</w:t>
            </w:r>
          </w:p>
        </w:tc>
        <w:tc>
          <w:tcPr>
            <w:tcW w:type="dxa" w:w="2880"/>
          </w:tcPr>
          <w:p>
            <w:r>
              <w:t>Refleksi diri, belajar sepanjang hayat</w:t>
            </w:r>
          </w:p>
        </w:tc>
        <w:tc>
          <w:tcPr>
            <w:tcW w:type="dxa" w:w="2880"/>
          </w:tcPr>
          <w:p>
            <w:r>
              <w:t>U0, P1</w:t>
            </w:r>
          </w:p>
        </w:tc>
      </w:tr>
      <w:tr>
        <w:tc>
          <w:tcPr>
            <w:tcW w:type="dxa" w:w="2880"/>
          </w:tcPr>
          <w:p>
            <w:r>
              <w:t>c. Komunikasi Efektif</w:t>
            </w:r>
          </w:p>
        </w:tc>
        <w:tc>
          <w:tcPr>
            <w:tcW w:type="dxa" w:w="2880"/>
          </w:tcPr>
          <w:p>
            <w:r>
              <w:t>Relasi dokter-pasien-keluarga</w:t>
            </w:r>
          </w:p>
        </w:tc>
        <w:tc>
          <w:tcPr>
            <w:tcW w:type="dxa" w:w="2880"/>
          </w:tcPr>
          <w:p>
            <w:r>
              <w:t>B1, B16</w:t>
            </w:r>
          </w:p>
        </w:tc>
      </w:tr>
      <w:tr>
        <w:tc>
          <w:tcPr>
            <w:tcW w:type="dxa" w:w="2880"/>
          </w:tcPr>
          <w:p>
            <w:r>
              <w:t>d. Pengelolaan Informasi</w:t>
            </w:r>
          </w:p>
        </w:tc>
        <w:tc>
          <w:tcPr>
            <w:tcW w:type="dxa" w:w="2880"/>
          </w:tcPr>
          <w:p>
            <w:r>
              <w:t>Rekam medis, kerahasiaan</w:t>
            </w:r>
          </w:p>
        </w:tc>
        <w:tc>
          <w:tcPr>
            <w:tcW w:type="dxa" w:w="2880"/>
          </w:tcPr>
          <w:p>
            <w:r>
              <w:t>B10</w:t>
            </w:r>
          </w:p>
        </w:tc>
      </w:tr>
      <w:tr>
        <w:tc>
          <w:tcPr>
            <w:tcW w:type="dxa" w:w="2880"/>
          </w:tcPr>
          <w:p>
            <w:r>
              <w:t>e. Landasan Ilmiah</w:t>
            </w:r>
          </w:p>
        </w:tc>
        <w:tc>
          <w:tcPr>
            <w:tcW w:type="dxa" w:w="2880"/>
          </w:tcPr>
          <w:p>
            <w:r>
              <w:t>Evidence-based family medicine</w:t>
            </w:r>
          </w:p>
        </w:tc>
        <w:tc>
          <w:tcPr>
            <w:tcW w:type="dxa" w:w="2880"/>
          </w:tcPr>
          <w:p>
            <w:r>
              <w:t>B1–B24</w:t>
            </w:r>
          </w:p>
        </w:tc>
      </w:tr>
      <w:tr>
        <w:tc>
          <w:tcPr>
            <w:tcW w:type="dxa" w:w="2880"/>
          </w:tcPr>
          <w:p>
            <w:r>
              <w:t>f. Keterampilan Klinis</w:t>
            </w:r>
          </w:p>
        </w:tc>
        <w:tc>
          <w:tcPr>
            <w:tcW w:type="dxa" w:w="2880"/>
          </w:tcPr>
          <w:p>
            <w:r>
              <w:t>Genogram, ecomap, konseling</w:t>
            </w:r>
          </w:p>
        </w:tc>
        <w:tc>
          <w:tcPr>
            <w:tcW w:type="dxa" w:w="2880"/>
          </w:tcPr>
          <w:p>
            <w:r>
              <w:t>B1, B9</w:t>
            </w:r>
          </w:p>
        </w:tc>
      </w:tr>
      <w:tr>
        <w:tc>
          <w:tcPr>
            <w:tcW w:type="dxa" w:w="2880"/>
          </w:tcPr>
          <w:p>
            <w:r>
              <w:t>g. Pengelolaan Masalah Kesehatan</w:t>
            </w:r>
          </w:p>
        </w:tc>
        <w:tc>
          <w:tcPr>
            <w:tcW w:type="dxa" w:w="2880"/>
          </w:tcPr>
          <w:p>
            <w:r>
              <w:t>23 komponen klinis inti</w:t>
            </w:r>
          </w:p>
        </w:tc>
        <w:tc>
          <w:tcPr>
            <w:tcW w:type="dxa" w:w="2880"/>
          </w:tcPr>
          <w:p>
            <w:r>
              <w:t>B2–B24 (lihat Panduan Kasus)</w:t>
            </w:r>
          </w:p>
        </w:tc>
      </w:tr>
    </w:tbl>
    <w:p>
      <w:r>
        <w:rPr>
          <w:b/>
        </w:rPr>
        <w:t xml:space="preserve">⚠ TINJAU TENAGA KESEHATAN — </w:t>
      </w:r>
      <w:r>
        <w:rPr>
          <w:i/>
        </w:rPr>
        <w:t>pemetaan Area Kompetensi ke buku rujukan di atas bersifat ringkasan navigasi; rujukan resmi dan lengkap tetap Kepkonsil No. HK.01.02/KKI/1318/2026 Tabel 10.</w:t>
      </w:r>
    </w:p>
    <w:p>
      <w:pPr>
        <w:pStyle w:val="Heading1"/>
      </w:pPr>
      <w:r>
        <w:t>BAB III — MODEL MANAJEMEN MUTU TERPADU: KERANGKA DELAPAN KOMPONEN</w:t>
      </w:r>
    </w:p>
    <w:p>
      <w:r>
        <w:rPr>
          <w:i/>
        </w:rPr>
        <w:t>Sebuah program pendidikan tidak berjalan hanya dengan kompetensi klinis yang baik — ia butuh arah yang jelas. Bab ini menyusun arah itu dalam kerangka Manajemen Mutu Terpadu (Total Quality Management / TQM) bagi model layanan dokter keluarga, delapan komponen yang saling menopang.</w:t>
      </w:r>
    </w:p>
    <w:p>
      <w:r>
        <w:t>Kerangka ini disusun berdasar masukan komunitas penyusun dan dirumuskan ulang secara sistematis menjadi delapan komponen manajemen strategis yang menopang seluruh ekosistem buku ini, dari visi hingga format penyajian dokumen.</w:t>
      </w:r>
    </w:p>
    <w:p>
      <w:pPr>
        <w:pStyle w:val="Heading2"/>
      </w:pPr>
      <w:r>
        <w:t>1. Visi — Gate Keeper Layanan Primer</w:t>
      </w:r>
    </w:p>
    <w:p>
      <w:r>
        <w:t>Menjadi rujukan utama pendidikan dokter keluarga layanan primer yang menyatukan mutu ilmiah kedokteran keluarga modern dengan nilai Al-Qur'an dan Hadits, menempatkan dokter keluarga sebagai penjaga gerbang (gate keeper) yang menyaring, menuntun, dan menyertai pasien di titik pertama layanan kesehatan.</w:t>
      </w:r>
    </w:p>
    <w:p>
      <w:r>
        <w:rPr>
          <w:b/>
        </w:rPr>
        <w:t xml:space="preserve">📖 LANDASAN AL-QUR'AN — </w:t>
      </w:r>
      <w:r>
        <w:t xml:space="preserve">"Dan tolong-menolonglah kamu dalam (mengerjakan) kebajikan dan takwa." (QS. Al-Ma'idah (5): 2, Terjemahan Kemenag RI). </w:t>
      </w:r>
      <w:r>
        <w:rPr>
          <w:i/>
        </w:rPr>
        <w:t>Peran gate keeper pada hakikatnya adalah tolong-menolong dalam kebaikan — menyaring rujukan agar sumber daya layanan kesehatan digunakan tepat sasaran.</w:t>
      </w:r>
    </w:p>
    <w:p>
      <w:pPr>
        <w:pStyle w:val="Heading2"/>
      </w:pPr>
      <w:r>
        <w:t>2. Misi</w:t>
      </w:r>
    </w:p>
    <w:p>
      <w:r>
        <w:t>(a) Menyusun materi pendidikan yang menyatukan standar Kepkonsil dengan nilai Islam secara proporsional; (b) Menjaga mutu ilmiah setiap topik klinis tanpa direduksi oleh muatan nilai; (c) Menjadikan setiap dalil yang disertakan telah melalui proses kehati-hatian sanad dan telaah ulama; (d) Menjangkau tiga lapis pembaca: peserta didik, dokter pembimbing, dan pasien/masyarakat awam.</w:t>
      </w:r>
    </w:p>
    <w:p>
      <w:pPr>
        <w:pStyle w:val="Heading2"/>
      </w:pPr>
      <w:r>
        <w:t>3. Tujuan (Objective)</w:t>
      </w:r>
    </w:p>
    <w:p>
      <w:r>
        <w:t>Menghasilkan 34 dokumen pendidikan (1 Orientasi, 24 Buku Tematik, 3 Materi Awam, 6 Pedoman Program) yang seluruhnya mempertahankan standar kompetensi Kepkonsil dan menyertakan landasan Al-Qur'an dan/atau Hadits yang relevan secara tematik, dapat diakses dalam format baca (HTML) dan unduh (DOCX).</w:t>
      </w:r>
    </w:p>
    <w:p>
      <w:pPr>
        <w:pStyle w:val="Heading2"/>
      </w:pPr>
      <w:r>
        <w:t>4. Strategi</w:t>
      </w:r>
    </w:p>
    <w:p>
      <w:r>
        <w:t>(a) Menggunakan struktur dokumen ilmiah yang sudah teruji (genogram, ecomap, vignette klinis, catatan tinjauan tenaga kesehatan) sebagai kerangka dasar; (b) Menambahkan dalil sebagai kotak terpisah yang jelas batasnya dari isi ilmiah, agar pembaca dapat membedakan keduanya; (c) Menetapkan aturan ketat: hanya dalil yang masyhur dan tidak diperselisihkan keabsahannya yang dicantumkan; (d) Menempuh jalur tinjauan berlapis — tenaga kesehatan untuk akurasi medis, ulama/asatidz untuk akurasi dalil — sebelum dokumen dinyatakan final.</w:t>
      </w:r>
    </w:p>
    <w:p>
      <w:r>
        <w:rPr>
          <w:b/>
        </w:rPr>
        <w:t>⚠ TINJAU ULAMA — kerangka strategi di atas mengandaikan adanya proses tinjauan ulama yang sesungguhnya sebelum publikasi luas; dokumen dalam draf ini belum melalui proses tersebut.</w:t>
      </w:r>
      <w:r>
        <w:rPr>
          <w:i/>
        </w:rPr>
      </w:r>
    </w:p>
    <w:p>
      <w:pPr>
        <w:pStyle w:val="Heading2"/>
      </w:pPr>
      <w:r>
        <w:t>5. Operasional</w:t>
      </w:r>
    </w:p>
    <w:p>
      <w:r>
        <w:t>Penyusunan berjalan per-dokumen (1 prompt menghasilkan 1 dokumen), memungkinkan proses paralel oleh beberapa tim penyusun sekaligus, dengan kerangka format yang seragam agar hasil akhir konsisten satu sama lain saat digabungkan ke dalam satu aplikasi baca digital.</w:t>
      </w:r>
    </w:p>
    <w:p>
      <w:pPr>
        <w:pStyle w:val="Heading2"/>
      </w:pPr>
      <w:r>
        <w:t>6. Program Kerja (Work Order)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Tahap</w:t>
            </w:r>
          </w:p>
        </w:tc>
        <w:tc>
          <w:tcPr>
            <w:tcW w:type="dxa" w:w="2880"/>
          </w:tcPr>
          <w:p>
            <w:r>
              <w:t>Keluaran</w:t>
            </w:r>
          </w:p>
        </w:tc>
        <w:tc>
          <w:tcPr>
            <w:tcW w:type="dxa" w:w="2880"/>
          </w:tcPr>
          <w:p>
            <w:r>
              <w:t>Status</w:t>
            </w:r>
          </w:p>
        </w:tc>
      </w:tr>
      <w:tr>
        <w:tc>
          <w:tcPr>
            <w:tcW w:type="dxa" w:w="2880"/>
          </w:tcPr>
          <w:p>
            <w:r>
              <w:t>1. Penyusunan Orientasi (U0)</w:t>
            </w:r>
          </w:p>
        </w:tc>
        <w:tc>
          <w:tcPr>
            <w:tcW w:type="dxa" w:w="2880"/>
          </w:tcPr>
          <w:p>
            <w:r>
              <w:t>Peta kompetensi + kerangka TQM</w:t>
            </w:r>
          </w:p>
        </w:tc>
        <w:tc>
          <w:tcPr>
            <w:tcW w:type="dxa" w:w="2880"/>
          </w:tcPr>
          <w:p>
            <w:r>
              <w:t>Selesai (dokumen ini)</w:t>
            </w:r>
          </w:p>
        </w:tc>
      </w:tr>
      <w:tr>
        <w:tc>
          <w:tcPr>
            <w:tcW w:type="dxa" w:w="2880"/>
          </w:tcPr>
          <w:p>
            <w:r>
              <w:t>2. Penyusunan Buku Tematik prioritas</w:t>
            </w:r>
          </w:p>
        </w:tc>
        <w:tc>
          <w:tcPr>
            <w:tcW w:type="dxa" w:w="2880"/>
          </w:tcPr>
          <w:p>
            <w:r>
              <w:t>B1, B19 (contoh mutu)</w:t>
            </w:r>
          </w:p>
        </w:tc>
        <w:tc>
          <w:tcPr>
            <w:tcW w:type="dxa" w:w="2880"/>
          </w:tcPr>
          <w:p>
            <w:r>
              <w:t>Selesai — lihat unit terkait</w:t>
            </w:r>
          </w:p>
        </w:tc>
      </w:tr>
      <w:tr>
        <w:tc>
          <w:tcPr>
            <w:tcW w:type="dxa" w:w="2880"/>
          </w:tcPr>
          <w:p>
            <w:r>
              <w:t>3. Penyusunan Materi Awam</w:t>
            </w:r>
          </w:p>
        </w:tc>
        <w:tc>
          <w:tcPr>
            <w:tcW w:type="dxa" w:w="2880"/>
          </w:tcPr>
          <w:p>
            <w:r>
              <w:t>M1 (contoh mutu)</w:t>
            </w:r>
          </w:p>
        </w:tc>
        <w:tc>
          <w:tcPr>
            <w:tcW w:type="dxa" w:w="2880"/>
          </w:tcPr>
          <w:p>
            <w:r>
              <w:t>Selesai — lihat unit terkait</w:t>
            </w:r>
          </w:p>
        </w:tc>
      </w:tr>
      <w:tr>
        <w:tc>
          <w:tcPr>
            <w:tcW w:type="dxa" w:w="2880"/>
          </w:tcPr>
          <w:p>
            <w:r>
              <w:t>4. Penyusunan sisa Buku Tematik &amp; Pedoman</w:t>
            </w:r>
          </w:p>
        </w:tc>
        <w:tc>
          <w:tcPr>
            <w:tcW w:type="dxa" w:w="2880"/>
          </w:tcPr>
          <w:p>
            <w:r>
              <w:t>B2–B18, B20–B24, M2–M3, P1–P6</w:t>
            </w:r>
          </w:p>
        </w:tc>
        <w:tc>
          <w:tcPr>
            <w:tcW w:type="dxa" w:w="2880"/>
          </w:tcPr>
          <w:p>
            <w:r>
              <w:t>Berjalan paralel oleh tim penyusun</w:t>
            </w:r>
          </w:p>
        </w:tc>
      </w:tr>
      <w:tr>
        <w:tc>
          <w:tcPr>
            <w:tcW w:type="dxa" w:w="2880"/>
          </w:tcPr>
          <w:p>
            <w:r>
              <w:t>5. Tinjauan ulama &amp; tenaga kesehatan</w:t>
            </w:r>
          </w:p>
        </w:tc>
        <w:tc>
          <w:tcPr>
            <w:tcW w:type="dxa" w:w="2880"/>
          </w:tcPr>
          <w:p>
            <w:r>
              <w:t>Naskah final terverifikasi</w:t>
            </w:r>
          </w:p>
        </w:tc>
        <w:tc>
          <w:tcPr>
            <w:tcW w:type="dxa" w:w="2880"/>
          </w:tcPr>
          <w:p>
            <w:r>
              <w:t>Menunggu tim peninjau</w:t>
            </w:r>
          </w:p>
        </w:tc>
      </w:tr>
      <w:tr>
        <w:tc>
          <w:tcPr>
            <w:tcW w:type="dxa" w:w="2880"/>
          </w:tcPr>
          <w:p>
            <w:r>
              <w:t>6. Publikasi ke aplikasi</w:t>
            </w:r>
          </w:p>
        </w:tc>
        <w:tc>
          <w:tcPr>
            <w:tcW w:type="dxa" w:w="2880"/>
          </w:tcPr>
          <w:p>
            <w:r>
              <w:t>Situs baca + unduh DOCX</w:t>
            </w:r>
          </w:p>
        </w:tc>
        <w:tc>
          <w:tcPr>
            <w:tcW w:type="dxa" w:w="2880"/>
          </w:tcPr>
          <w:p>
            <w:r>
              <w:t>Siap setelah tahap 5</w:t>
            </w:r>
          </w:p>
        </w:tc>
      </w:tr>
    </w:tbl>
    <w:p>
      <w:pPr>
        <w:pStyle w:val="Heading2"/>
      </w:pPr>
      <w:r>
        <w:t>7. Modul</w:t>
      </w:r>
    </w:p>
    <w:p>
      <w:r>
        <w:t>Empat modul mengikuti kategori dokumen: Modul Orientasi (U0), Modul Buku Tematik Klinis (B1–B24, kedalaman dalil setingkat tenaga kesehatan/akademik), Modul Materi Awam (M1–M3, bahasa sederhana untuk pasien), dan Modul Pedoman Program (P1–P6, dalil seputar adab menuntut ilmu dan amanah, bukan dalil klinis).</w:t>
      </w:r>
    </w:p>
    <w:p>
      <w:pPr>
        <w:pStyle w:val="Heading2"/>
      </w:pPr>
      <w:r>
        <w:t>8. Format</w:t>
      </w:r>
    </w:p>
    <w:p>
      <w:r>
        <w:t>Setiap dokumen tersedia dalam pasangan berkas: DOCX (untuk diunduh, dicetak, atau diedit lebih lanjut oleh tim peninjau) dan HTML bergaya SaaS navy-brass (untuk dibaca langsung di aplikasi web, area publik lpislami.baktimu.com), dengan kotak Landasan Al-Qur'an (hijau), Landasan Hadits (kuning keemasan), Ilustrasi Kasus (indigo), dan dua jalur Tinjauan (medis dan ulama) yang selalu terpisah secara visual.</w:t>
      </w:r>
    </w:p>
    <w:p>
      <w:pPr>
        <w:pStyle w:val="Heading1"/>
      </w:pPr>
      <w:r>
        <w:t>BAB IV — CARA MEMBACA SERI DOKUMEN INI</w:t>
      </w:r>
    </w:p>
    <w:p>
      <w:r>
        <w:t>Gunakan Panduan Kasus di halaman utama aplikasi untuk menemukan buku yang sesuai dengan skenario klinis yang dihadapi. Setiap Buku Tematik dapat dibaca berdiri sendiri; landasan dalil di dalamnya adalah pelengkap, bukan syarat, untuk memahami isi ilmiahnya.</w:t>
      </w:r>
    </w:p>
    <w:p>
      <w:r>
        <w:rPr>
          <w:b/>
        </w:rPr>
        <w:t xml:space="preserve">🩺 Ilustrasi Kasus — </w:t>
      </w:r>
      <w:r>
        <w:t>Seorang peserta didik baru bertanya, 'Apakah saya harus hafal semua dalil di buku ini sebelum praktik?' Jawabannya tidak — dalil di sini adalah pengingat makna pekerjaan, sedangkan kompetensi klinis tetap wajib dikuasai penuh sesuai standar Kepkonsil sebelum menangani pasien.</w:t>
      </w:r>
    </w:p>
    <w:p>
      <w:r>
        <w:rPr>
          <w:i/>
        </w:rPr>
        <w:t>Dalil Al-Qur'an dan Hadits dalam dokumen ini disajikan sebagai penguat nilai, bukan sebagai fatwa hukum; rujuk ulama/ahli untuk persoalan hukum fikih spesifik. Naskah ini merupakan draf awal dan memerlukan tinjauan ulama serta tenaga kesehatan sebelum digunakan sebagai rujukan resmi.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